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FA2F7" w14:textId="30F562E9" w:rsidR="005E7A11" w:rsidRDefault="00711803">
      <w:pPr>
        <w:adjustRightInd w:val="0"/>
        <w:snapToGrid w:val="0"/>
        <w:spacing w:line="56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证券代码：</w:t>
      </w:r>
      <w:r>
        <w:rPr>
          <w:rFonts w:asciiTheme="minorEastAsia" w:eastAsiaTheme="minorEastAsia" w:hAnsiTheme="minorEastAsia" w:hint="eastAsia"/>
          <w:sz w:val="24"/>
          <w:szCs w:val="24"/>
        </w:rPr>
        <w:t>603815</w:t>
      </w:r>
      <w:r>
        <w:rPr>
          <w:rFonts w:asciiTheme="minorEastAsia" w:eastAsiaTheme="minorEastAsia" w:hAnsiTheme="minor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/>
          <w:sz w:val="24"/>
          <w:szCs w:val="24"/>
        </w:rPr>
        <w:t>证券简称：</w:t>
      </w:r>
      <w:proofErr w:type="gramStart"/>
      <w:r>
        <w:rPr>
          <w:rFonts w:asciiTheme="minorEastAsia" w:eastAsiaTheme="minorEastAsia" w:hAnsiTheme="minorEastAsia"/>
          <w:sz w:val="24"/>
          <w:szCs w:val="24"/>
        </w:rPr>
        <w:t>交建股份</w:t>
      </w:r>
      <w:proofErr w:type="gramEnd"/>
      <w:r>
        <w:rPr>
          <w:rFonts w:asciiTheme="minorEastAsia" w:eastAsiaTheme="minorEastAsia" w:hAnsiTheme="minor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/>
          <w:sz w:val="24"/>
          <w:szCs w:val="24"/>
        </w:rPr>
        <w:t xml:space="preserve">  公告编号：</w:t>
      </w:r>
      <w:r>
        <w:rPr>
          <w:rFonts w:asciiTheme="minorEastAsia" w:eastAsiaTheme="minorEastAsia" w:hAnsiTheme="minorEastAsia" w:hint="eastAsia"/>
          <w:sz w:val="24"/>
          <w:szCs w:val="24"/>
        </w:rPr>
        <w:t>202</w:t>
      </w:r>
      <w:r w:rsidR="00D35AF4">
        <w:rPr>
          <w:rFonts w:asciiTheme="minorEastAsia" w:eastAsiaTheme="minorEastAsia" w:hAnsiTheme="minorEastAsia" w:hint="eastAsia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</w:rPr>
        <w:t>-</w:t>
      </w:r>
      <w:r w:rsidR="00901DF7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D35AF4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901DF7">
        <w:rPr>
          <w:rFonts w:asciiTheme="minorEastAsia" w:eastAsiaTheme="minorEastAsia" w:hAnsiTheme="minorEastAsia" w:hint="eastAsia"/>
          <w:sz w:val="24"/>
          <w:szCs w:val="24"/>
        </w:rPr>
        <w:t>4</w:t>
      </w:r>
    </w:p>
    <w:p w14:paraId="5857C47E" w14:textId="77777777" w:rsidR="005E7A11" w:rsidRDefault="005E7A11">
      <w:pPr>
        <w:widowControl/>
        <w:adjustRightInd w:val="0"/>
        <w:snapToGrid w:val="0"/>
        <w:spacing w:line="560" w:lineRule="exact"/>
        <w:ind w:firstLineChars="200" w:firstLine="600"/>
        <w:jc w:val="center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</w:p>
    <w:p w14:paraId="785BCDB2" w14:textId="77777777" w:rsidR="005E7A11" w:rsidRPr="0003624A" w:rsidRDefault="00711803">
      <w:pPr>
        <w:widowControl/>
        <w:adjustRightInd w:val="0"/>
        <w:snapToGrid w:val="0"/>
        <w:spacing w:before="100" w:beforeAutospacing="1" w:after="100" w:afterAutospacing="1" w:line="560" w:lineRule="exact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 w:rsidRPr="0003624A">
        <w:rPr>
          <w:rFonts w:ascii="黑体" w:eastAsia="黑体" w:hAnsi="黑体" w:hint="eastAsia"/>
          <w:b/>
          <w:color w:val="000000"/>
          <w:sz w:val="36"/>
          <w:szCs w:val="36"/>
        </w:rPr>
        <w:t>安徽省交通建设股份有限公司</w:t>
      </w:r>
    </w:p>
    <w:p w14:paraId="61F3CCDC" w14:textId="6CFCD051" w:rsidR="005E7A11" w:rsidRPr="0003624A" w:rsidRDefault="00711803">
      <w:pPr>
        <w:widowControl/>
        <w:adjustRightInd w:val="0"/>
        <w:snapToGrid w:val="0"/>
        <w:spacing w:before="100" w:beforeAutospacing="1" w:after="100" w:afterAutospacing="1" w:line="560" w:lineRule="exact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 w:rsidRPr="0003624A">
        <w:rPr>
          <w:rFonts w:ascii="黑体" w:eastAsia="黑体" w:hAnsi="黑体" w:hint="eastAsia"/>
          <w:b/>
          <w:color w:val="000000"/>
          <w:sz w:val="36"/>
          <w:szCs w:val="36"/>
        </w:rPr>
        <w:t>2025年年度业绩</w:t>
      </w:r>
      <w:r w:rsidR="00D35AF4">
        <w:rPr>
          <w:rFonts w:ascii="黑体" w:eastAsia="黑体" w:hAnsi="黑体" w:hint="eastAsia"/>
          <w:b/>
          <w:color w:val="000000"/>
          <w:sz w:val="36"/>
          <w:szCs w:val="36"/>
        </w:rPr>
        <w:t>预告</w:t>
      </w:r>
    </w:p>
    <w:p w14:paraId="63C9EE15" w14:textId="2C99D1C0" w:rsidR="005E7A11" w:rsidRPr="003450C7" w:rsidRDefault="00711803" w:rsidP="003450C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480"/>
        <w:jc w:val="left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422AD16D" w14:textId="77777777" w:rsidR="005E7A11" w:rsidRPr="009E74BE" w:rsidRDefault="00711803" w:rsidP="003450C7">
      <w:pPr>
        <w:widowControl/>
        <w:adjustRightInd w:val="0"/>
        <w:snapToGrid w:val="0"/>
        <w:spacing w:before="100" w:beforeAutospacing="1" w:line="560" w:lineRule="exact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 w:rsidRPr="009E74BE">
        <w:rPr>
          <w:rFonts w:ascii="宋体" w:hAnsi="宋体"/>
          <w:b/>
          <w:color w:val="000000"/>
          <w:kern w:val="0"/>
          <w:sz w:val="24"/>
          <w:szCs w:val="24"/>
        </w:rPr>
        <w:t>重要内容提示：</w:t>
      </w:r>
    </w:p>
    <w:p w14:paraId="258A72F4" w14:textId="4A378E0F" w:rsidR="005E7A11" w:rsidRPr="00055753" w:rsidRDefault="00711803" w:rsidP="00055753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kern w:val="0"/>
          <w:sz w:val="24"/>
          <w:szCs w:val="24"/>
        </w:rPr>
      </w:pPr>
      <w:r w:rsidRPr="00055753">
        <w:rPr>
          <w:rFonts w:ascii="宋体" w:hAnsi="宋体"/>
          <w:color w:val="000000"/>
          <w:kern w:val="0"/>
          <w:sz w:val="24"/>
          <w:szCs w:val="24"/>
        </w:rPr>
        <w:t>业绩预告适用情形：</w:t>
      </w:r>
      <w:r w:rsidR="00601E67" w:rsidRPr="00055753">
        <w:rPr>
          <w:rFonts w:ascii="宋体" w:hAnsi="宋体"/>
          <w:color w:val="000000"/>
          <w:kern w:val="0"/>
          <w:sz w:val="24"/>
          <w:szCs w:val="24"/>
        </w:rPr>
        <w:t>净利润为负值</w:t>
      </w:r>
    </w:p>
    <w:p w14:paraId="3C312409" w14:textId="707DB409" w:rsidR="00D35AF4" w:rsidRPr="00055753" w:rsidRDefault="00711803" w:rsidP="00055753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kern w:val="0"/>
          <w:sz w:val="24"/>
          <w:szCs w:val="24"/>
        </w:rPr>
      </w:pPr>
      <w:r w:rsidRPr="00055753">
        <w:rPr>
          <w:rFonts w:ascii="宋体" w:hAnsi="宋体"/>
          <w:color w:val="000000"/>
          <w:kern w:val="0"/>
          <w:sz w:val="24"/>
          <w:szCs w:val="24"/>
        </w:rPr>
        <w:t>安徽省交通建设股份有限公司（以下简称“公司”</w:t>
      </w:r>
      <w:r w:rsidR="00BC4993" w:rsidRPr="00055753">
        <w:rPr>
          <w:rFonts w:ascii="宋体" w:hAnsi="宋体"/>
          <w:color w:val="000000"/>
          <w:kern w:val="0"/>
          <w:sz w:val="24"/>
          <w:szCs w:val="24"/>
        </w:rPr>
        <w:t>或“交建股份”</w:t>
      </w:r>
      <w:r w:rsidRPr="00055753">
        <w:rPr>
          <w:rFonts w:ascii="宋体" w:hAnsi="宋体"/>
          <w:color w:val="000000"/>
          <w:kern w:val="0"/>
          <w:sz w:val="24"/>
          <w:szCs w:val="24"/>
        </w:rPr>
        <w:t>），预计2025</w:t>
      </w:r>
      <w:r w:rsidR="00D35AF4" w:rsidRPr="00055753">
        <w:rPr>
          <w:rFonts w:ascii="宋体" w:hAnsi="宋体"/>
          <w:color w:val="000000"/>
          <w:kern w:val="0"/>
          <w:sz w:val="24"/>
          <w:szCs w:val="24"/>
        </w:rPr>
        <w:t>年</w:t>
      </w:r>
      <w:r w:rsidR="00542E1A" w:rsidRPr="00055753">
        <w:rPr>
          <w:rFonts w:ascii="宋体" w:hAnsi="宋体"/>
          <w:color w:val="000000"/>
          <w:kern w:val="0"/>
          <w:sz w:val="24"/>
          <w:szCs w:val="24"/>
        </w:rPr>
        <w:t>年度实现归属于母公司所有者的净利润</w:t>
      </w:r>
      <w:r w:rsidR="00D866C1" w:rsidRPr="00055753">
        <w:rPr>
          <w:rFonts w:ascii="宋体" w:hAnsi="宋体"/>
          <w:color w:val="000000"/>
          <w:kern w:val="0"/>
          <w:sz w:val="24"/>
          <w:szCs w:val="24"/>
        </w:rPr>
        <w:t>为</w:t>
      </w:r>
      <w:r w:rsidR="00041AEA" w:rsidRPr="00055753">
        <w:rPr>
          <w:rFonts w:ascii="宋体" w:hAnsi="宋体" w:hint="eastAsia"/>
          <w:color w:val="000000"/>
          <w:kern w:val="0"/>
          <w:sz w:val="24"/>
          <w:szCs w:val="24"/>
        </w:rPr>
        <w:t>-</w:t>
      </w:r>
      <w:r w:rsidR="00F0330E" w:rsidRPr="00055753">
        <w:rPr>
          <w:rFonts w:ascii="宋体" w:hAnsi="宋体" w:hint="eastAsia"/>
          <w:color w:val="000000"/>
          <w:kern w:val="0"/>
          <w:sz w:val="24"/>
          <w:szCs w:val="24"/>
        </w:rPr>
        <w:t>7.00</w:t>
      </w:r>
      <w:r w:rsidR="00041AEA" w:rsidRPr="00055753">
        <w:rPr>
          <w:rFonts w:ascii="宋体" w:hAnsi="宋体" w:hint="eastAsia"/>
          <w:color w:val="000000"/>
          <w:kern w:val="0"/>
          <w:sz w:val="24"/>
          <w:szCs w:val="24"/>
        </w:rPr>
        <w:t>亿</w:t>
      </w:r>
      <w:r w:rsidR="00542E1A" w:rsidRPr="00055753">
        <w:rPr>
          <w:rFonts w:ascii="宋体" w:hAnsi="宋体"/>
          <w:color w:val="000000"/>
          <w:kern w:val="0"/>
          <w:sz w:val="24"/>
          <w:szCs w:val="24"/>
        </w:rPr>
        <w:t>元至</w:t>
      </w:r>
      <w:r w:rsidR="00041AEA" w:rsidRPr="00055753">
        <w:rPr>
          <w:rFonts w:ascii="宋体" w:hAnsi="宋体" w:hint="eastAsia"/>
          <w:color w:val="000000"/>
          <w:kern w:val="0"/>
          <w:sz w:val="24"/>
          <w:szCs w:val="24"/>
        </w:rPr>
        <w:t>-3.</w:t>
      </w:r>
      <w:r w:rsidR="00F0330E" w:rsidRPr="00055753">
        <w:rPr>
          <w:rFonts w:ascii="宋体" w:hAnsi="宋体" w:hint="eastAsia"/>
          <w:color w:val="000000"/>
          <w:kern w:val="0"/>
          <w:sz w:val="24"/>
          <w:szCs w:val="24"/>
        </w:rPr>
        <w:t>50</w:t>
      </w:r>
      <w:r w:rsidR="00041AEA" w:rsidRPr="00055753">
        <w:rPr>
          <w:rFonts w:ascii="宋体" w:hAnsi="宋体" w:hint="eastAsia"/>
          <w:color w:val="000000"/>
          <w:kern w:val="0"/>
          <w:sz w:val="24"/>
          <w:szCs w:val="24"/>
        </w:rPr>
        <w:t>亿元</w:t>
      </w:r>
      <w:r w:rsidR="00542E1A" w:rsidRPr="00055753">
        <w:rPr>
          <w:rFonts w:ascii="宋体" w:hAnsi="宋体"/>
          <w:color w:val="000000"/>
          <w:kern w:val="0"/>
          <w:sz w:val="24"/>
          <w:szCs w:val="24"/>
        </w:rPr>
        <w:t>，与上年同期相比，</w:t>
      </w:r>
      <w:r w:rsidR="00601E67" w:rsidRPr="00055753">
        <w:rPr>
          <w:rFonts w:ascii="宋体" w:hAnsi="宋体"/>
          <w:color w:val="000000"/>
          <w:kern w:val="0"/>
          <w:sz w:val="24"/>
          <w:szCs w:val="24"/>
        </w:rPr>
        <w:t>将出现</w:t>
      </w:r>
      <w:bookmarkStart w:id="0" w:name="_GoBack"/>
      <w:bookmarkEnd w:id="0"/>
      <w:r w:rsidR="00601E67" w:rsidRPr="00055753">
        <w:rPr>
          <w:rFonts w:ascii="宋体" w:hAnsi="宋体"/>
          <w:color w:val="000000"/>
          <w:kern w:val="0"/>
          <w:sz w:val="24"/>
          <w:szCs w:val="24"/>
        </w:rPr>
        <w:t>亏损。</w:t>
      </w:r>
    </w:p>
    <w:p w14:paraId="5C9AF029" w14:textId="77777777" w:rsidR="00204EE2" w:rsidRPr="00055753" w:rsidRDefault="00711803" w:rsidP="00055753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kern w:val="0"/>
          <w:sz w:val="24"/>
          <w:szCs w:val="24"/>
        </w:rPr>
      </w:pPr>
      <w:r w:rsidRPr="00055753">
        <w:rPr>
          <w:rFonts w:ascii="宋体" w:hAnsi="宋体"/>
          <w:color w:val="000000"/>
          <w:kern w:val="0"/>
          <w:sz w:val="24"/>
          <w:szCs w:val="24"/>
        </w:rPr>
        <w:t>预计2025</w:t>
      </w:r>
      <w:r w:rsidR="006C1939" w:rsidRPr="00055753">
        <w:rPr>
          <w:rFonts w:ascii="宋体" w:hAnsi="宋体"/>
          <w:color w:val="000000"/>
          <w:kern w:val="0"/>
          <w:sz w:val="24"/>
          <w:szCs w:val="24"/>
        </w:rPr>
        <w:t>年</w:t>
      </w:r>
      <w:r w:rsidR="00542E1A" w:rsidRPr="00055753">
        <w:rPr>
          <w:rFonts w:ascii="宋体" w:hAnsi="宋体"/>
          <w:color w:val="000000"/>
          <w:kern w:val="0"/>
          <w:sz w:val="24"/>
          <w:szCs w:val="24"/>
        </w:rPr>
        <w:t>年度实现归属于母公司所有者的扣除非经常性损益的净利润</w:t>
      </w:r>
      <w:r w:rsidR="00D866C1" w:rsidRPr="00055753">
        <w:rPr>
          <w:rFonts w:ascii="宋体" w:hAnsi="宋体"/>
          <w:color w:val="000000"/>
          <w:kern w:val="0"/>
          <w:sz w:val="24"/>
          <w:szCs w:val="24"/>
        </w:rPr>
        <w:t>为</w:t>
      </w:r>
      <w:r w:rsidR="00041AEA" w:rsidRPr="00055753">
        <w:rPr>
          <w:rFonts w:ascii="宋体" w:hAnsi="宋体" w:hint="eastAsia"/>
          <w:color w:val="000000"/>
          <w:kern w:val="0"/>
          <w:sz w:val="24"/>
          <w:szCs w:val="24"/>
        </w:rPr>
        <w:t>-6.</w:t>
      </w:r>
      <w:r w:rsidR="00F672E4" w:rsidRPr="00055753">
        <w:rPr>
          <w:rFonts w:ascii="宋体" w:hAnsi="宋体" w:hint="eastAsia"/>
          <w:color w:val="000000"/>
          <w:kern w:val="0"/>
          <w:sz w:val="24"/>
          <w:szCs w:val="24"/>
        </w:rPr>
        <w:t>94</w:t>
      </w:r>
      <w:r w:rsidR="00041AEA" w:rsidRPr="00055753">
        <w:rPr>
          <w:rFonts w:ascii="宋体" w:hAnsi="宋体" w:hint="eastAsia"/>
          <w:color w:val="000000"/>
          <w:kern w:val="0"/>
          <w:sz w:val="24"/>
          <w:szCs w:val="24"/>
        </w:rPr>
        <w:t>亿</w:t>
      </w:r>
      <w:r w:rsidR="00041AEA" w:rsidRPr="00055753">
        <w:rPr>
          <w:rFonts w:ascii="宋体" w:hAnsi="宋体"/>
          <w:color w:val="000000"/>
          <w:kern w:val="0"/>
          <w:sz w:val="24"/>
          <w:szCs w:val="24"/>
        </w:rPr>
        <w:t>元至</w:t>
      </w:r>
      <w:r w:rsidR="00041AEA" w:rsidRPr="00055753">
        <w:rPr>
          <w:rFonts w:ascii="宋体" w:hAnsi="宋体" w:hint="eastAsia"/>
          <w:color w:val="000000"/>
          <w:kern w:val="0"/>
          <w:sz w:val="24"/>
          <w:szCs w:val="24"/>
        </w:rPr>
        <w:t>-3.4</w:t>
      </w:r>
      <w:r w:rsidR="00574EED" w:rsidRPr="00055753">
        <w:rPr>
          <w:rFonts w:ascii="宋体" w:hAnsi="宋体" w:hint="eastAsia"/>
          <w:color w:val="000000"/>
          <w:kern w:val="0"/>
          <w:sz w:val="24"/>
          <w:szCs w:val="24"/>
        </w:rPr>
        <w:t>7</w:t>
      </w:r>
      <w:r w:rsidR="00041AEA" w:rsidRPr="00055753">
        <w:rPr>
          <w:rFonts w:ascii="宋体" w:hAnsi="宋体" w:hint="eastAsia"/>
          <w:color w:val="000000"/>
          <w:kern w:val="0"/>
          <w:sz w:val="24"/>
          <w:szCs w:val="24"/>
        </w:rPr>
        <w:t>亿元</w:t>
      </w:r>
      <w:r w:rsidR="00542E1A" w:rsidRPr="00055753">
        <w:rPr>
          <w:rFonts w:ascii="宋体" w:hAnsi="宋体"/>
          <w:color w:val="000000"/>
          <w:kern w:val="0"/>
          <w:sz w:val="24"/>
          <w:szCs w:val="24"/>
        </w:rPr>
        <w:t>，与上年同期相比</w:t>
      </w:r>
      <w:r w:rsidR="00D35AF4" w:rsidRPr="00055753">
        <w:rPr>
          <w:rFonts w:ascii="宋体" w:hAnsi="宋体"/>
          <w:color w:val="000000"/>
          <w:kern w:val="0"/>
          <w:sz w:val="24"/>
          <w:szCs w:val="24"/>
        </w:rPr>
        <w:t>，将出现亏损。</w:t>
      </w:r>
    </w:p>
    <w:p w14:paraId="628ED96A" w14:textId="14EC299E" w:rsidR="00204EE2" w:rsidRPr="00204EE2" w:rsidRDefault="00204EE2" w:rsidP="00055753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204EE2">
        <w:rPr>
          <w:rFonts w:ascii="宋体" w:hAnsi="宋体" w:hint="eastAsia"/>
          <w:color w:val="000000"/>
          <w:kern w:val="0"/>
          <w:sz w:val="24"/>
          <w:szCs w:val="24"/>
        </w:rPr>
        <w:t>基于谨慎性原则，按照会计准则相关规定，公司拟对</w:t>
      </w:r>
      <w:r w:rsidR="00BA2F37">
        <w:rPr>
          <w:rFonts w:ascii="宋体" w:hAnsi="宋体" w:hint="eastAsia"/>
          <w:color w:val="000000"/>
          <w:kern w:val="0"/>
          <w:sz w:val="24"/>
          <w:szCs w:val="24"/>
        </w:rPr>
        <w:t>控股股东</w:t>
      </w:r>
      <w:proofErr w:type="gramStart"/>
      <w:r w:rsidR="00BA2F37">
        <w:rPr>
          <w:rFonts w:ascii="宋体" w:hAnsi="宋体" w:hint="eastAsia"/>
          <w:color w:val="000000"/>
          <w:kern w:val="0"/>
          <w:sz w:val="24"/>
          <w:szCs w:val="24"/>
        </w:rPr>
        <w:t>祥</w:t>
      </w:r>
      <w:proofErr w:type="gramEnd"/>
      <w:r w:rsidR="00BA2F37">
        <w:rPr>
          <w:rFonts w:ascii="宋体" w:hAnsi="宋体" w:hint="eastAsia"/>
          <w:color w:val="000000"/>
          <w:kern w:val="0"/>
          <w:sz w:val="24"/>
          <w:szCs w:val="24"/>
        </w:rPr>
        <w:t>源控股集团有限责任公司（以下简称“祥源控股”）</w:t>
      </w:r>
      <w:r w:rsidRPr="00204EE2">
        <w:rPr>
          <w:rFonts w:ascii="宋体" w:hAnsi="宋体" w:hint="eastAsia"/>
          <w:color w:val="000000"/>
          <w:kern w:val="0"/>
          <w:sz w:val="24"/>
          <w:szCs w:val="24"/>
        </w:rPr>
        <w:t>关联方</w:t>
      </w:r>
      <w:r>
        <w:rPr>
          <w:rFonts w:ascii="宋体" w:hAnsi="宋体" w:hint="eastAsia"/>
          <w:color w:val="000000"/>
          <w:kern w:val="0"/>
          <w:sz w:val="24"/>
          <w:szCs w:val="24"/>
        </w:rPr>
        <w:t>经营性</w:t>
      </w:r>
      <w:r w:rsidRPr="00204EE2">
        <w:rPr>
          <w:rFonts w:ascii="宋体" w:hAnsi="宋体" w:hint="eastAsia"/>
          <w:color w:val="000000"/>
          <w:kern w:val="0"/>
          <w:sz w:val="24"/>
          <w:szCs w:val="24"/>
        </w:rPr>
        <w:t>应收账款单项计提大额坏账准备，导致公司2025年业绩</w:t>
      </w:r>
      <w:r w:rsidR="0066232D" w:rsidRPr="00055753">
        <w:rPr>
          <w:rFonts w:ascii="宋体" w:hAnsi="宋体" w:hint="eastAsia"/>
          <w:color w:val="000000"/>
          <w:sz w:val="24"/>
          <w:szCs w:val="24"/>
        </w:rPr>
        <w:t>出现</w:t>
      </w:r>
      <w:r w:rsidR="0066232D">
        <w:rPr>
          <w:rFonts w:ascii="宋体" w:hAnsi="宋体" w:hint="eastAsia"/>
          <w:color w:val="000000"/>
          <w:kern w:val="0"/>
          <w:sz w:val="24"/>
          <w:szCs w:val="24"/>
        </w:rPr>
        <w:t>亏损</w:t>
      </w:r>
      <w:r w:rsidRPr="00204EE2">
        <w:rPr>
          <w:rFonts w:ascii="宋体" w:hAnsi="宋体" w:hint="eastAsia"/>
          <w:color w:val="000000"/>
          <w:kern w:val="0"/>
          <w:sz w:val="24"/>
          <w:szCs w:val="24"/>
        </w:rPr>
        <w:t>。</w:t>
      </w:r>
      <w:r w:rsidRPr="00204EE2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截至目前，公司生产经营情况正常，公司主营业务未产生重大变化。</w:t>
      </w:r>
    </w:p>
    <w:p w14:paraId="614B3FEE" w14:textId="206B54C4" w:rsidR="005E7A11" w:rsidRPr="00D35AF4" w:rsidRDefault="00711803" w:rsidP="00D35AF4">
      <w:pPr>
        <w:pStyle w:val="ac"/>
        <w:widowControl/>
        <w:adjustRightInd w:val="0"/>
        <w:snapToGrid w:val="0"/>
        <w:spacing w:line="560" w:lineRule="exact"/>
        <w:ind w:left="482" w:firstLineChars="0" w:firstLine="0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 w:rsidRPr="00D35AF4">
        <w:rPr>
          <w:rFonts w:ascii="宋体" w:hAnsi="宋体"/>
          <w:b/>
          <w:color w:val="000000"/>
          <w:kern w:val="0"/>
          <w:sz w:val="24"/>
          <w:szCs w:val="24"/>
        </w:rPr>
        <w:t>一、本期业绩预告情况</w:t>
      </w:r>
    </w:p>
    <w:p w14:paraId="63F36ACD" w14:textId="77777777" w:rsidR="005E7A11" w:rsidRDefault="00711803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/>
          <w:color w:val="000000"/>
          <w:kern w:val="0"/>
          <w:sz w:val="24"/>
          <w:szCs w:val="24"/>
        </w:rPr>
        <w:t>（一）业绩预告期间</w:t>
      </w:r>
    </w:p>
    <w:p w14:paraId="241A6A75" w14:textId="22E373B6" w:rsidR="005E7A11" w:rsidRDefault="00711803" w:rsidP="00CE2EA7">
      <w:pPr>
        <w:widowControl/>
        <w:adjustRightInd w:val="0"/>
        <w:snapToGrid w:val="0"/>
        <w:spacing w:line="560" w:lineRule="exact"/>
        <w:ind w:firstLineChars="236" w:firstLine="566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/>
          <w:color w:val="000000"/>
          <w:kern w:val="0"/>
          <w:sz w:val="24"/>
          <w:szCs w:val="24"/>
        </w:rPr>
        <w:t>2025 年1月1日至2025年</w:t>
      </w:r>
      <w:r w:rsidR="00D35AF4">
        <w:rPr>
          <w:rFonts w:ascii="宋体" w:hAnsi="宋体" w:hint="eastAsia"/>
          <w:color w:val="000000"/>
          <w:kern w:val="0"/>
          <w:sz w:val="24"/>
          <w:szCs w:val="24"/>
        </w:rPr>
        <w:t>12</w:t>
      </w:r>
      <w:r>
        <w:rPr>
          <w:rFonts w:ascii="宋体" w:hAnsi="宋体"/>
          <w:color w:val="000000"/>
          <w:kern w:val="0"/>
          <w:sz w:val="24"/>
          <w:szCs w:val="24"/>
        </w:rPr>
        <w:t>月</w:t>
      </w:r>
      <w:r w:rsidR="00D35AF4">
        <w:rPr>
          <w:rFonts w:ascii="宋体" w:hAnsi="宋体"/>
          <w:color w:val="000000"/>
          <w:kern w:val="0"/>
          <w:sz w:val="24"/>
          <w:szCs w:val="24"/>
        </w:rPr>
        <w:t>3</w:t>
      </w:r>
      <w:r w:rsidR="00D35AF4">
        <w:rPr>
          <w:rFonts w:ascii="宋体" w:hAnsi="宋体" w:hint="eastAsia"/>
          <w:color w:val="000000"/>
          <w:kern w:val="0"/>
          <w:sz w:val="24"/>
          <w:szCs w:val="24"/>
        </w:rPr>
        <w:t>1</w:t>
      </w:r>
      <w:r>
        <w:rPr>
          <w:rFonts w:ascii="宋体" w:hAnsi="宋体"/>
          <w:color w:val="000000"/>
          <w:kern w:val="0"/>
          <w:sz w:val="24"/>
          <w:szCs w:val="24"/>
        </w:rPr>
        <w:t>日。</w:t>
      </w:r>
    </w:p>
    <w:p w14:paraId="6CB4D6F9" w14:textId="77777777" w:rsidR="005E7A11" w:rsidRDefault="00711803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/>
          <w:color w:val="000000"/>
          <w:kern w:val="0"/>
          <w:sz w:val="24"/>
          <w:szCs w:val="24"/>
        </w:rPr>
        <w:t>（二）业绩预告情况</w:t>
      </w:r>
    </w:p>
    <w:p w14:paraId="587B2FB4" w14:textId="73D218FC" w:rsidR="005E7A11" w:rsidRDefault="00FE3043" w:rsidP="00424A9C">
      <w:pPr>
        <w:pStyle w:val="ac"/>
        <w:widowControl/>
        <w:adjustRightInd w:val="0"/>
        <w:snapToGrid w:val="0"/>
        <w:spacing w:line="560" w:lineRule="exact"/>
        <w:ind w:left="198" w:firstLine="480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lastRenderedPageBreak/>
        <w:t>1、</w:t>
      </w:r>
      <w:r w:rsidR="00711803">
        <w:rPr>
          <w:rFonts w:ascii="宋体" w:hAnsi="宋体" w:hint="eastAsia"/>
          <w:color w:val="000000"/>
          <w:kern w:val="0"/>
          <w:sz w:val="24"/>
          <w:szCs w:val="24"/>
        </w:rPr>
        <w:t>经财务部门初步测算，</w:t>
      </w:r>
      <w:r w:rsidR="00711803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预计</w:t>
      </w:r>
      <w:r w:rsidR="00F133AD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2025年年度</w:t>
      </w:r>
      <w:r w:rsidR="00754598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实现归属于母公司所有者的净利润</w:t>
      </w:r>
      <w:r w:rsidR="00D866C1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为</w:t>
      </w:r>
      <w:r w:rsidR="009A7B82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-7.00亿</w:t>
      </w:r>
      <w:r w:rsidR="009A7B82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元至</w:t>
      </w:r>
      <w:r w:rsidR="009A7B82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-3.50亿元</w:t>
      </w:r>
      <w:r w:rsidR="00754598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，与上年同期相比，将</w:t>
      </w:r>
      <w:r w:rsidR="00F133AD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出现亏损。</w:t>
      </w:r>
    </w:p>
    <w:p w14:paraId="3C138ECF" w14:textId="0E4A0591" w:rsidR="00F133AD" w:rsidRDefault="00FE3043" w:rsidP="00424A9C">
      <w:pPr>
        <w:pStyle w:val="ac"/>
        <w:widowControl/>
        <w:adjustRightInd w:val="0"/>
        <w:snapToGrid w:val="0"/>
        <w:spacing w:line="560" w:lineRule="exact"/>
        <w:ind w:left="198" w:firstLine="480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2、</w:t>
      </w:r>
      <w:r w:rsidR="00711803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预计</w:t>
      </w:r>
      <w:r w:rsidR="00F133AD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2025年年度</w:t>
      </w:r>
      <w:r w:rsidR="00754598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实现归属于母公司所有者的扣除非经常性损益的净利润</w:t>
      </w:r>
      <w:r w:rsidR="00D866C1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为</w:t>
      </w:r>
      <w:r w:rsidR="009A7B82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-6.94亿</w:t>
      </w:r>
      <w:r w:rsidR="009A7B82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元至</w:t>
      </w:r>
      <w:r w:rsidR="00574EED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-3.47</w:t>
      </w:r>
      <w:r w:rsidR="009A7B82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亿元</w:t>
      </w:r>
      <w:r w:rsidR="00754598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，与上年同期相比，</w:t>
      </w:r>
      <w:r w:rsidR="00F133AD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将出现亏损</w:t>
      </w:r>
      <w:r w:rsidR="002D7C3D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。</w:t>
      </w:r>
    </w:p>
    <w:p w14:paraId="22EC3EE5" w14:textId="61F65C46" w:rsidR="005E7A11" w:rsidRDefault="00711803" w:rsidP="00424A9C">
      <w:pPr>
        <w:pStyle w:val="ac"/>
        <w:widowControl/>
        <w:adjustRightInd w:val="0"/>
        <w:snapToGrid w:val="0"/>
        <w:spacing w:line="560" w:lineRule="exact"/>
        <w:ind w:left="198" w:firstLine="48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/>
          <w:color w:val="000000"/>
          <w:kern w:val="0"/>
          <w:sz w:val="24"/>
          <w:szCs w:val="24"/>
        </w:rPr>
        <w:t>（三）本次业绩预告未经</w:t>
      </w:r>
      <w:r w:rsidR="00233D37">
        <w:rPr>
          <w:rFonts w:ascii="宋体" w:hAnsi="宋体"/>
          <w:color w:val="000000"/>
          <w:kern w:val="0"/>
          <w:sz w:val="24"/>
          <w:szCs w:val="24"/>
        </w:rPr>
        <w:t>年审</w:t>
      </w:r>
      <w:r>
        <w:rPr>
          <w:rFonts w:ascii="宋体" w:hAnsi="宋体"/>
          <w:color w:val="000000"/>
          <w:kern w:val="0"/>
          <w:sz w:val="24"/>
          <w:szCs w:val="24"/>
        </w:rPr>
        <w:t>注册会计师审计。</w:t>
      </w:r>
    </w:p>
    <w:p w14:paraId="6D15D7A7" w14:textId="77777777" w:rsidR="005E7A11" w:rsidRDefault="00711803">
      <w:pPr>
        <w:widowControl/>
        <w:adjustRightInd w:val="0"/>
        <w:snapToGrid w:val="0"/>
        <w:spacing w:line="560" w:lineRule="exact"/>
        <w:ind w:firstLineChars="200" w:firstLine="482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>
        <w:rPr>
          <w:rFonts w:ascii="宋体" w:hAnsi="宋体"/>
          <w:b/>
          <w:color w:val="000000"/>
          <w:kern w:val="0"/>
          <w:sz w:val="24"/>
          <w:szCs w:val="24"/>
        </w:rPr>
        <w:t>二、上年同期经营业绩和财务状况</w:t>
      </w:r>
    </w:p>
    <w:p w14:paraId="3F7656E8" w14:textId="5470E840" w:rsidR="005E7A11" w:rsidRDefault="00711803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（一）</w:t>
      </w:r>
      <w:r>
        <w:rPr>
          <w:rFonts w:ascii="宋体" w:hAnsi="宋体"/>
          <w:color w:val="000000"/>
          <w:kern w:val="0"/>
          <w:sz w:val="24"/>
          <w:szCs w:val="24"/>
        </w:rPr>
        <w:t>公司2024</w:t>
      </w:r>
      <w:r w:rsidR="000E656D">
        <w:rPr>
          <w:rFonts w:ascii="宋体" w:hAnsi="宋体"/>
          <w:color w:val="000000"/>
          <w:kern w:val="0"/>
          <w:sz w:val="24"/>
          <w:szCs w:val="24"/>
        </w:rPr>
        <w:t>年</w:t>
      </w:r>
      <w:r>
        <w:rPr>
          <w:rFonts w:ascii="宋体" w:hAnsi="宋体"/>
          <w:color w:val="000000"/>
          <w:kern w:val="0"/>
          <w:sz w:val="24"/>
          <w:szCs w:val="24"/>
        </w:rPr>
        <w:t>年度归属于母公司所有者的净利润</w:t>
      </w:r>
      <w:r>
        <w:rPr>
          <w:rFonts w:ascii="宋体" w:hAnsi="宋体" w:hint="eastAsia"/>
          <w:color w:val="000000"/>
          <w:kern w:val="0"/>
          <w:sz w:val="24"/>
          <w:szCs w:val="24"/>
        </w:rPr>
        <w:t>：</w:t>
      </w:r>
      <w:r w:rsidR="005F2FB0" w:rsidRPr="005F2FB0">
        <w:rPr>
          <w:rFonts w:ascii="宋体" w:hAnsi="宋体"/>
          <w:color w:val="000000"/>
          <w:kern w:val="0"/>
          <w:sz w:val="24"/>
          <w:szCs w:val="24"/>
        </w:rPr>
        <w:t>130,241,795.21</w:t>
      </w:r>
      <w:r w:rsidR="00BA2F37">
        <w:rPr>
          <w:rFonts w:ascii="宋体" w:hAnsi="宋体" w:hint="eastAsia"/>
          <w:color w:val="000000"/>
          <w:kern w:val="0"/>
          <w:sz w:val="24"/>
          <w:szCs w:val="24"/>
        </w:rPr>
        <w:t>元，</w:t>
      </w:r>
      <w:r>
        <w:rPr>
          <w:rFonts w:ascii="宋体" w:hAnsi="宋体" w:hint="eastAsia"/>
          <w:color w:val="000000"/>
          <w:kern w:val="0"/>
          <w:sz w:val="24"/>
          <w:szCs w:val="24"/>
        </w:rPr>
        <w:t>归属于母公司所有者的扣除非经常性损益的净利润：</w:t>
      </w:r>
      <w:r w:rsidR="005F2FB0" w:rsidRPr="005F2FB0">
        <w:rPr>
          <w:rFonts w:ascii="宋体" w:hAnsi="宋体"/>
          <w:color w:val="000000"/>
          <w:kern w:val="0"/>
          <w:sz w:val="24"/>
          <w:szCs w:val="24"/>
        </w:rPr>
        <w:t>127,194,831.28</w:t>
      </w:r>
      <w:r>
        <w:rPr>
          <w:rFonts w:ascii="宋体" w:hAnsi="宋体" w:hint="eastAsia"/>
          <w:color w:val="000000"/>
          <w:kern w:val="0"/>
          <w:sz w:val="24"/>
          <w:szCs w:val="24"/>
        </w:rPr>
        <w:t>元。</w:t>
      </w:r>
    </w:p>
    <w:p w14:paraId="3B47E494" w14:textId="6519E71B" w:rsidR="005E7A11" w:rsidRDefault="00711803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（二）每股收益：0.</w:t>
      </w:r>
      <w:r w:rsidR="005F2FB0">
        <w:rPr>
          <w:rFonts w:ascii="宋体" w:hAnsi="宋体" w:hint="eastAsia"/>
          <w:color w:val="000000"/>
          <w:kern w:val="0"/>
          <w:sz w:val="24"/>
          <w:szCs w:val="24"/>
        </w:rPr>
        <w:t>21</w:t>
      </w:r>
      <w:r>
        <w:rPr>
          <w:rFonts w:ascii="宋体" w:hAnsi="宋体" w:hint="eastAsia"/>
          <w:color w:val="000000"/>
          <w:kern w:val="0"/>
          <w:sz w:val="24"/>
          <w:szCs w:val="24"/>
        </w:rPr>
        <w:t>元。</w:t>
      </w:r>
    </w:p>
    <w:p w14:paraId="1313A31A" w14:textId="37453505" w:rsidR="005E7A11" w:rsidRDefault="00711803">
      <w:pPr>
        <w:widowControl/>
        <w:adjustRightInd w:val="0"/>
        <w:snapToGrid w:val="0"/>
        <w:spacing w:line="560" w:lineRule="exact"/>
        <w:ind w:firstLineChars="200" w:firstLine="482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>
        <w:rPr>
          <w:rFonts w:ascii="宋体" w:hAnsi="宋体"/>
          <w:b/>
          <w:color w:val="000000"/>
          <w:kern w:val="0"/>
          <w:sz w:val="24"/>
          <w:szCs w:val="24"/>
        </w:rPr>
        <w:t>三、本期业绩</w:t>
      </w:r>
      <w:r w:rsidR="003703D5">
        <w:rPr>
          <w:rFonts w:ascii="宋体" w:hAnsi="宋体" w:hint="eastAsia"/>
          <w:b/>
          <w:color w:val="000000"/>
          <w:kern w:val="0"/>
          <w:sz w:val="24"/>
          <w:szCs w:val="24"/>
        </w:rPr>
        <w:t>预亏</w:t>
      </w:r>
      <w:r>
        <w:rPr>
          <w:rFonts w:ascii="宋体" w:hAnsi="宋体"/>
          <w:b/>
          <w:color w:val="000000"/>
          <w:kern w:val="0"/>
          <w:sz w:val="24"/>
          <w:szCs w:val="24"/>
        </w:rPr>
        <w:t>的主要原因</w:t>
      </w:r>
    </w:p>
    <w:p w14:paraId="1F861D1A" w14:textId="3CCF2E9E" w:rsidR="00F20ECA" w:rsidRDefault="003703D5" w:rsidP="003703D5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 w:rsidRPr="003703D5">
        <w:rPr>
          <w:rFonts w:ascii="宋体" w:hAnsi="宋体" w:hint="eastAsia"/>
          <w:color w:val="000000"/>
          <w:kern w:val="0"/>
          <w:sz w:val="24"/>
          <w:szCs w:val="24"/>
        </w:rPr>
        <w:t>公司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全面梳理了与</w:t>
      </w:r>
      <w:proofErr w:type="gramStart"/>
      <w:r w:rsidR="00554878">
        <w:rPr>
          <w:rFonts w:ascii="宋体" w:hAnsi="宋体" w:hint="eastAsia"/>
          <w:color w:val="000000"/>
          <w:kern w:val="0"/>
          <w:sz w:val="24"/>
          <w:szCs w:val="24"/>
        </w:rPr>
        <w:t>祥</w:t>
      </w:r>
      <w:proofErr w:type="gramEnd"/>
      <w:r w:rsidR="00554878">
        <w:rPr>
          <w:rFonts w:ascii="宋体" w:hAnsi="宋体" w:hint="eastAsia"/>
          <w:color w:val="000000"/>
          <w:kern w:val="0"/>
          <w:sz w:val="24"/>
          <w:szCs w:val="24"/>
        </w:rPr>
        <w:t>源控股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地产项目的施工业务</w:t>
      </w:r>
      <w:r w:rsidRPr="003703D5">
        <w:rPr>
          <w:rFonts w:ascii="宋体" w:hAnsi="宋体" w:hint="eastAsia"/>
          <w:color w:val="000000"/>
          <w:kern w:val="0"/>
          <w:sz w:val="24"/>
          <w:szCs w:val="24"/>
        </w:rPr>
        <w:t>，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考虑到</w:t>
      </w:r>
      <w:proofErr w:type="gramStart"/>
      <w:r w:rsidRPr="003703D5">
        <w:rPr>
          <w:rFonts w:ascii="宋体" w:hAnsi="宋体" w:hint="eastAsia"/>
          <w:color w:val="000000"/>
          <w:kern w:val="0"/>
          <w:sz w:val="24"/>
          <w:szCs w:val="24"/>
        </w:rPr>
        <w:t>祥</w:t>
      </w:r>
      <w:proofErr w:type="gramEnd"/>
      <w:r w:rsidRPr="003703D5">
        <w:rPr>
          <w:rFonts w:ascii="宋体" w:hAnsi="宋体" w:hint="eastAsia"/>
          <w:color w:val="000000"/>
          <w:kern w:val="0"/>
          <w:sz w:val="24"/>
          <w:szCs w:val="24"/>
        </w:rPr>
        <w:t>源控股</w:t>
      </w:r>
      <w:r w:rsidR="00193FCA">
        <w:rPr>
          <w:rFonts w:ascii="宋体" w:hAnsi="宋体" w:hint="eastAsia"/>
          <w:color w:val="000000"/>
          <w:kern w:val="0"/>
          <w:sz w:val="24"/>
          <w:szCs w:val="24"/>
        </w:rPr>
        <w:t>相关</w:t>
      </w:r>
      <w:r w:rsidR="00304112">
        <w:rPr>
          <w:rFonts w:ascii="宋体" w:hAnsi="宋体" w:hint="eastAsia"/>
          <w:color w:val="000000"/>
          <w:kern w:val="0"/>
          <w:sz w:val="24"/>
          <w:szCs w:val="24"/>
        </w:rPr>
        <w:t>事项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的不确定性以</w:t>
      </w:r>
      <w:r w:rsidRPr="003703D5">
        <w:rPr>
          <w:rFonts w:ascii="宋体" w:hAnsi="宋体" w:hint="eastAsia"/>
          <w:color w:val="000000"/>
          <w:kern w:val="0"/>
          <w:sz w:val="24"/>
          <w:szCs w:val="24"/>
        </w:rPr>
        <w:t>及房地产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行业</w:t>
      </w:r>
      <w:r w:rsidRPr="003703D5">
        <w:rPr>
          <w:rFonts w:ascii="宋体" w:hAnsi="宋体" w:hint="eastAsia"/>
          <w:color w:val="000000"/>
          <w:kern w:val="0"/>
          <w:sz w:val="24"/>
          <w:szCs w:val="24"/>
        </w:rPr>
        <w:t>整体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行情影响</w:t>
      </w:r>
      <w:r w:rsidRPr="003703D5">
        <w:rPr>
          <w:rFonts w:ascii="宋体" w:hAnsi="宋体" w:hint="eastAsia"/>
          <w:color w:val="000000"/>
          <w:kern w:val="0"/>
          <w:sz w:val="24"/>
          <w:szCs w:val="24"/>
        </w:rPr>
        <w:t>，公司认为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与</w:t>
      </w:r>
      <w:proofErr w:type="gramStart"/>
      <w:r w:rsidR="005D0874">
        <w:rPr>
          <w:rFonts w:ascii="宋体" w:hAnsi="宋体" w:hint="eastAsia"/>
          <w:color w:val="000000"/>
          <w:kern w:val="0"/>
          <w:sz w:val="24"/>
          <w:szCs w:val="24"/>
        </w:rPr>
        <w:t>祥</w:t>
      </w:r>
      <w:proofErr w:type="gramEnd"/>
      <w:r w:rsidR="005D0874">
        <w:rPr>
          <w:rFonts w:ascii="宋体" w:hAnsi="宋体" w:hint="eastAsia"/>
          <w:color w:val="000000"/>
          <w:kern w:val="0"/>
          <w:sz w:val="24"/>
          <w:szCs w:val="24"/>
        </w:rPr>
        <w:t>源控股</w:t>
      </w:r>
      <w:r w:rsidR="00FE5149">
        <w:rPr>
          <w:rFonts w:ascii="宋体" w:hAnsi="宋体" w:hint="eastAsia"/>
          <w:color w:val="000000"/>
          <w:kern w:val="0"/>
          <w:sz w:val="24"/>
          <w:szCs w:val="24"/>
        </w:rPr>
        <w:t>关联方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的</w:t>
      </w:r>
      <w:r w:rsidR="00B47A4E">
        <w:rPr>
          <w:rFonts w:ascii="宋体" w:hAnsi="宋体" w:hint="eastAsia"/>
          <w:color w:val="000000"/>
          <w:kern w:val="0"/>
          <w:sz w:val="24"/>
          <w:szCs w:val="24"/>
        </w:rPr>
        <w:t>经营性应收账款</w:t>
      </w:r>
      <w:r w:rsidR="00C31C7C">
        <w:rPr>
          <w:rFonts w:ascii="宋体" w:hAnsi="宋体" w:hint="eastAsia"/>
          <w:color w:val="000000"/>
          <w:kern w:val="0"/>
          <w:sz w:val="24"/>
          <w:szCs w:val="24"/>
        </w:rPr>
        <w:t>存在坏账风险。</w:t>
      </w:r>
    </w:p>
    <w:p w14:paraId="74DC6F56" w14:textId="517758C0" w:rsidR="008A1F60" w:rsidRPr="00F20ECA" w:rsidRDefault="00EF25E2" w:rsidP="00F20ECA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基于</w:t>
      </w:r>
      <w:r w:rsidR="003703D5" w:rsidRPr="003703D5">
        <w:rPr>
          <w:rFonts w:ascii="宋体" w:hAnsi="宋体" w:hint="eastAsia"/>
          <w:color w:val="000000"/>
          <w:kern w:val="0"/>
          <w:sz w:val="24"/>
          <w:szCs w:val="24"/>
        </w:rPr>
        <w:t>谨慎性原则，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按照会计准则相关规定，</w:t>
      </w:r>
      <w:r w:rsidR="00B47A4E">
        <w:rPr>
          <w:rFonts w:ascii="宋体" w:hAnsi="宋体" w:hint="eastAsia"/>
          <w:color w:val="000000"/>
          <w:kern w:val="0"/>
          <w:sz w:val="24"/>
          <w:szCs w:val="24"/>
        </w:rPr>
        <w:t>公司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拟对祥源控股</w:t>
      </w:r>
      <w:r w:rsidR="00FE5149">
        <w:rPr>
          <w:rFonts w:ascii="宋体" w:hAnsi="宋体" w:hint="eastAsia"/>
          <w:color w:val="000000"/>
          <w:kern w:val="0"/>
          <w:sz w:val="24"/>
          <w:szCs w:val="24"/>
        </w:rPr>
        <w:t>关联方</w:t>
      </w:r>
      <w:r w:rsidR="00902A25">
        <w:rPr>
          <w:rFonts w:ascii="宋体" w:hAnsi="宋体" w:hint="eastAsia"/>
          <w:color w:val="000000"/>
          <w:kern w:val="0"/>
          <w:sz w:val="24"/>
          <w:szCs w:val="24"/>
        </w:rPr>
        <w:t>经营性</w:t>
      </w:r>
      <w:r w:rsidR="005D0874">
        <w:rPr>
          <w:rFonts w:ascii="宋体" w:hAnsi="宋体" w:hint="eastAsia"/>
          <w:color w:val="000000"/>
          <w:kern w:val="0"/>
          <w:sz w:val="24"/>
          <w:szCs w:val="24"/>
        </w:rPr>
        <w:t>应收账款</w:t>
      </w:r>
      <w:r w:rsidR="009D0F02">
        <w:rPr>
          <w:rFonts w:ascii="宋体" w:hAnsi="宋体" w:hint="eastAsia"/>
          <w:color w:val="000000"/>
          <w:kern w:val="0"/>
          <w:sz w:val="24"/>
          <w:szCs w:val="24"/>
        </w:rPr>
        <w:t>单项</w:t>
      </w:r>
      <w:r w:rsidR="003703D5" w:rsidRPr="003703D5">
        <w:rPr>
          <w:rFonts w:ascii="宋体" w:hAnsi="宋体" w:hint="eastAsia"/>
          <w:color w:val="000000"/>
          <w:kern w:val="0"/>
          <w:sz w:val="24"/>
          <w:szCs w:val="24"/>
        </w:rPr>
        <w:t>计提</w:t>
      </w:r>
      <w:r w:rsidR="005E3AB4">
        <w:rPr>
          <w:rFonts w:ascii="宋体" w:hAnsi="宋体" w:hint="eastAsia"/>
          <w:color w:val="000000"/>
          <w:kern w:val="0"/>
          <w:sz w:val="24"/>
          <w:szCs w:val="24"/>
        </w:rPr>
        <w:t>大额</w:t>
      </w:r>
      <w:r w:rsidR="003703D5" w:rsidRPr="003703D5">
        <w:rPr>
          <w:rFonts w:ascii="宋体" w:hAnsi="宋体" w:hint="eastAsia"/>
          <w:color w:val="000000"/>
          <w:kern w:val="0"/>
          <w:sz w:val="24"/>
          <w:szCs w:val="24"/>
        </w:rPr>
        <w:t>坏账准备，导致公司2025</w:t>
      </w:r>
      <w:r w:rsidR="00CB1C47">
        <w:rPr>
          <w:rFonts w:ascii="宋体" w:hAnsi="宋体" w:hint="eastAsia"/>
          <w:color w:val="000000"/>
          <w:kern w:val="0"/>
          <w:sz w:val="24"/>
          <w:szCs w:val="24"/>
        </w:rPr>
        <w:t>年业绩</w:t>
      </w:r>
      <w:r w:rsidR="008D61BD">
        <w:rPr>
          <w:rFonts w:ascii="宋体" w:hAnsi="宋体" w:hint="eastAsia"/>
          <w:color w:val="000000"/>
          <w:kern w:val="0"/>
          <w:sz w:val="24"/>
          <w:szCs w:val="24"/>
        </w:rPr>
        <w:t>出现亏损</w:t>
      </w:r>
      <w:r w:rsidR="003703D5">
        <w:rPr>
          <w:rFonts w:ascii="宋体" w:hAnsi="宋体" w:hint="eastAsia"/>
          <w:color w:val="000000"/>
          <w:kern w:val="0"/>
          <w:sz w:val="24"/>
          <w:szCs w:val="24"/>
        </w:rPr>
        <w:t>。</w:t>
      </w:r>
      <w:r w:rsidR="008A1F60" w:rsidRPr="008A1F60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截至目前，公</w:t>
      </w:r>
      <w:r w:rsidR="00D47502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司生产经营情况</w:t>
      </w:r>
      <w:r w:rsidR="008A1F60" w:rsidRPr="008A1F60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正常，公司主营业务未产生重大变化。</w:t>
      </w:r>
    </w:p>
    <w:p w14:paraId="42E941D8" w14:textId="2FE4E98F" w:rsidR="005E7A11" w:rsidRDefault="00711803" w:rsidP="00901DF7">
      <w:pPr>
        <w:widowControl/>
        <w:adjustRightInd w:val="0"/>
        <w:snapToGrid w:val="0"/>
        <w:spacing w:line="560" w:lineRule="exact"/>
        <w:ind w:firstLineChars="200" w:firstLine="482"/>
        <w:jc w:val="left"/>
        <w:rPr>
          <w:rFonts w:asciiTheme="minorEastAsia" w:eastAsiaTheme="minorEastAsia" w:hAnsiTheme="minorEastAsia"/>
          <w:b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/>
          <w:b/>
          <w:color w:val="000000"/>
          <w:kern w:val="0"/>
          <w:sz w:val="24"/>
          <w:szCs w:val="24"/>
        </w:rPr>
        <w:t>四、风险提示及其他说明事项</w:t>
      </w:r>
    </w:p>
    <w:p w14:paraId="7B552DEC" w14:textId="3F7379FC" w:rsidR="00CA456A" w:rsidRDefault="009B3E2B" w:rsidP="005C7EB6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 w:rsidRPr="005C7EB6">
        <w:rPr>
          <w:rFonts w:ascii="宋体" w:hAnsi="宋体" w:hint="eastAsia"/>
          <w:color w:val="000000"/>
          <w:kern w:val="0"/>
          <w:sz w:val="24"/>
          <w:szCs w:val="24"/>
        </w:rPr>
        <w:t>（一）</w:t>
      </w:r>
      <w:r w:rsidRPr="003703D5">
        <w:rPr>
          <w:rFonts w:ascii="宋体" w:hAnsi="宋体" w:hint="eastAsia"/>
          <w:color w:val="000000"/>
          <w:kern w:val="0"/>
          <w:sz w:val="24"/>
          <w:szCs w:val="24"/>
        </w:rPr>
        <w:t>报告期内，在某平台发行的涉及与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祥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源控股</w:t>
      </w:r>
      <w:r w:rsidRPr="003703D5">
        <w:rPr>
          <w:rFonts w:ascii="宋体" w:hAnsi="宋体" w:hint="eastAsia"/>
          <w:color w:val="000000"/>
          <w:kern w:val="0"/>
          <w:sz w:val="24"/>
          <w:szCs w:val="24"/>
        </w:rPr>
        <w:t>地产合作项目的金融产品存在部分逾期兑付情形，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祥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源控股、公司实际控制人就上述兑付义务承担连带保证责任。</w:t>
      </w:r>
      <w:r w:rsidRPr="00BC4993">
        <w:rPr>
          <w:rFonts w:ascii="宋体" w:hAnsi="宋体" w:hint="eastAsia"/>
          <w:color w:val="000000"/>
          <w:kern w:val="0"/>
          <w:sz w:val="24"/>
          <w:szCs w:val="24"/>
        </w:rPr>
        <w:t>本次事件涉及的金融产品</w:t>
      </w:r>
      <w:proofErr w:type="gramStart"/>
      <w:r w:rsidRPr="00BC4993">
        <w:rPr>
          <w:rFonts w:ascii="宋体" w:hAnsi="宋体" w:hint="eastAsia"/>
          <w:color w:val="000000"/>
          <w:kern w:val="0"/>
          <w:sz w:val="24"/>
          <w:szCs w:val="24"/>
        </w:rPr>
        <w:t>与交建股份</w:t>
      </w:r>
      <w:proofErr w:type="gramEnd"/>
      <w:r w:rsidRPr="00BC4993">
        <w:rPr>
          <w:rFonts w:ascii="宋体" w:hAnsi="宋体" w:hint="eastAsia"/>
          <w:color w:val="000000"/>
          <w:kern w:val="0"/>
          <w:sz w:val="24"/>
          <w:szCs w:val="24"/>
        </w:rPr>
        <w:t>及其参、控股子公司均无关，</w:t>
      </w:r>
      <w:proofErr w:type="gramStart"/>
      <w:r w:rsidRPr="00BC4993">
        <w:rPr>
          <w:rFonts w:ascii="宋体" w:hAnsi="宋体" w:hint="eastAsia"/>
          <w:color w:val="000000"/>
          <w:kern w:val="0"/>
          <w:sz w:val="24"/>
          <w:szCs w:val="24"/>
        </w:rPr>
        <w:t>交建股份</w:t>
      </w:r>
      <w:proofErr w:type="gramEnd"/>
      <w:r w:rsidRPr="00BC4993">
        <w:rPr>
          <w:rFonts w:ascii="宋体" w:hAnsi="宋体" w:hint="eastAsia"/>
          <w:color w:val="000000"/>
          <w:kern w:val="0"/>
          <w:sz w:val="24"/>
          <w:szCs w:val="24"/>
        </w:rPr>
        <w:t>不承担任何兑付及担保义务，公司亦未为任何金融理财产品的兑付提供担保或增信。</w:t>
      </w:r>
    </w:p>
    <w:p w14:paraId="31DB3E02" w14:textId="3CFF1660" w:rsidR="009B3E2B" w:rsidRDefault="00CB45FE" w:rsidP="009B3E2B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lastRenderedPageBreak/>
        <w:t>（二）</w:t>
      </w:r>
      <w:proofErr w:type="gramStart"/>
      <w:r w:rsidR="009B3E2B" w:rsidRPr="005D0874">
        <w:rPr>
          <w:rFonts w:ascii="宋体" w:hAnsi="宋体" w:hint="eastAsia"/>
          <w:color w:val="000000"/>
          <w:kern w:val="0"/>
          <w:sz w:val="24"/>
          <w:szCs w:val="24"/>
        </w:rPr>
        <w:t>祥</w:t>
      </w:r>
      <w:proofErr w:type="gramEnd"/>
      <w:r w:rsidR="009B3E2B" w:rsidRPr="005D0874">
        <w:rPr>
          <w:rFonts w:ascii="宋体" w:hAnsi="宋体" w:hint="eastAsia"/>
          <w:color w:val="000000"/>
          <w:kern w:val="0"/>
          <w:sz w:val="24"/>
          <w:szCs w:val="24"/>
        </w:rPr>
        <w:t>源</w:t>
      </w:r>
      <w:r w:rsidR="009B3E2B">
        <w:rPr>
          <w:rFonts w:ascii="宋体" w:hAnsi="宋体" w:hint="eastAsia"/>
          <w:color w:val="000000"/>
          <w:kern w:val="0"/>
          <w:sz w:val="24"/>
          <w:szCs w:val="24"/>
        </w:rPr>
        <w:t>控股正与相关方就逾期兑付的具体情况进行沟通处理，</w:t>
      </w:r>
      <w:r w:rsidR="009B3E2B" w:rsidRPr="003703D5">
        <w:rPr>
          <w:rFonts w:ascii="宋体" w:hAnsi="宋体" w:hint="eastAsia"/>
          <w:color w:val="000000"/>
          <w:kern w:val="0"/>
          <w:sz w:val="24"/>
          <w:szCs w:val="24"/>
        </w:rPr>
        <w:t>绍兴市帮扶</w:t>
      </w:r>
      <w:proofErr w:type="gramStart"/>
      <w:r w:rsidR="009B3E2B" w:rsidRPr="003703D5">
        <w:rPr>
          <w:rFonts w:ascii="宋体" w:hAnsi="宋体" w:hint="eastAsia"/>
          <w:color w:val="000000"/>
          <w:kern w:val="0"/>
          <w:sz w:val="24"/>
          <w:szCs w:val="24"/>
        </w:rPr>
        <w:t>祥</w:t>
      </w:r>
      <w:proofErr w:type="gramEnd"/>
      <w:r w:rsidR="009B3E2B" w:rsidRPr="003703D5">
        <w:rPr>
          <w:rFonts w:ascii="宋体" w:hAnsi="宋体" w:hint="eastAsia"/>
          <w:color w:val="000000"/>
          <w:kern w:val="0"/>
          <w:sz w:val="24"/>
          <w:szCs w:val="24"/>
        </w:rPr>
        <w:t>源控股工作组目前正在依法依规对</w:t>
      </w:r>
      <w:proofErr w:type="gramStart"/>
      <w:r w:rsidR="009B3E2B" w:rsidRPr="003703D5">
        <w:rPr>
          <w:rFonts w:ascii="宋体" w:hAnsi="宋体" w:hint="eastAsia"/>
          <w:color w:val="000000"/>
          <w:kern w:val="0"/>
          <w:sz w:val="24"/>
          <w:szCs w:val="24"/>
        </w:rPr>
        <w:t>祥</w:t>
      </w:r>
      <w:proofErr w:type="gramEnd"/>
      <w:r w:rsidR="009B3E2B" w:rsidRPr="003703D5">
        <w:rPr>
          <w:rFonts w:ascii="宋体" w:hAnsi="宋体" w:hint="eastAsia"/>
          <w:color w:val="000000"/>
          <w:kern w:val="0"/>
          <w:sz w:val="24"/>
          <w:szCs w:val="24"/>
        </w:rPr>
        <w:t>源控股资产及负债等情况进行排查，督促</w:t>
      </w:r>
      <w:proofErr w:type="gramStart"/>
      <w:r w:rsidR="009B3E2B" w:rsidRPr="003703D5">
        <w:rPr>
          <w:rFonts w:ascii="宋体" w:hAnsi="宋体" w:hint="eastAsia"/>
          <w:color w:val="000000"/>
          <w:kern w:val="0"/>
          <w:sz w:val="24"/>
          <w:szCs w:val="24"/>
        </w:rPr>
        <w:t>祥</w:t>
      </w:r>
      <w:proofErr w:type="gramEnd"/>
      <w:r w:rsidR="009B3E2B" w:rsidRPr="003703D5">
        <w:rPr>
          <w:rFonts w:ascii="宋体" w:hAnsi="宋体" w:hint="eastAsia"/>
          <w:color w:val="000000"/>
          <w:kern w:val="0"/>
          <w:sz w:val="24"/>
          <w:szCs w:val="24"/>
        </w:rPr>
        <w:t>源控股依法履行债务责任。</w:t>
      </w:r>
    </w:p>
    <w:p w14:paraId="1775DE85" w14:textId="005E4741" w:rsidR="003703D5" w:rsidRDefault="00CB45FE" w:rsidP="003703D5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（三）</w:t>
      </w:r>
      <w:r w:rsidR="00711803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以上预告数据仅为初步核算数据</w:t>
      </w:r>
      <w:r w:rsidR="003703D5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，</w:t>
      </w:r>
      <w:r w:rsidR="003703D5" w:rsidRPr="003703D5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公司已就业绩预告情况与年审会计师事务所</w:t>
      </w:r>
      <w:r w:rsidR="003703D5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进行初步沟通，尚未经年审注册会计师审计，具体准确的财务数据以公司正式披露的2025年年报为准。</w:t>
      </w:r>
    </w:p>
    <w:p w14:paraId="0C7DA0B7" w14:textId="3AE0C7DC" w:rsidR="003703D5" w:rsidRDefault="00CB45FE" w:rsidP="003703D5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（四）</w:t>
      </w:r>
      <w:r w:rsidR="003703D5" w:rsidRPr="003703D5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由于坏账准备重点关联</w:t>
      </w:r>
      <w:proofErr w:type="gramStart"/>
      <w:r w:rsidR="003703D5" w:rsidRPr="003703D5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祥</w:t>
      </w:r>
      <w:proofErr w:type="gramEnd"/>
      <w:r w:rsidR="003703D5" w:rsidRPr="003703D5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源控股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事项</w:t>
      </w:r>
      <w:r w:rsidR="003703D5" w:rsidRPr="003703D5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，其后续的处理方案将极大影响计提金额，</w:t>
      </w:r>
      <w:r w:rsidR="00D866C1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公司已采取各种手段回收欠款，以最大程度</w:t>
      </w:r>
      <w:r w:rsidR="00C31C7C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保障公司权益。</w:t>
      </w:r>
      <w:r w:rsidR="00C31C7C" w:rsidRPr="003703D5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公司将持续关注</w:t>
      </w:r>
      <w:proofErr w:type="gramStart"/>
      <w:r w:rsidR="00C31C7C" w:rsidRPr="003703D5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祥</w:t>
      </w:r>
      <w:proofErr w:type="gramEnd"/>
      <w:r w:rsidR="00C31C7C" w:rsidRPr="003703D5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源控股事件进展并在后续年报编制工作中与年审会计师保持沟通，</w:t>
      </w:r>
      <w:r w:rsidR="003703D5" w:rsidRPr="003703D5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如在审计过程中出</w:t>
      </w:r>
      <w:r w:rsidR="003703D5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现可能影响业绩预告准确性的重大变化，公司将及时履行信息披露义务，</w:t>
      </w:r>
      <w:r w:rsidR="003703D5">
        <w:rPr>
          <w:rFonts w:asciiTheme="minorEastAsia" w:eastAsiaTheme="minorEastAsia" w:hAnsiTheme="minorEastAsia"/>
          <w:color w:val="000000"/>
          <w:kern w:val="0"/>
          <w:sz w:val="24"/>
          <w:szCs w:val="24"/>
        </w:rPr>
        <w:t>敬请广大投资者注意投资风险。</w:t>
      </w:r>
    </w:p>
    <w:p w14:paraId="00CDEAA9" w14:textId="77777777" w:rsidR="005E7A11" w:rsidRDefault="005E7A11" w:rsidP="00CE1941">
      <w:pPr>
        <w:widowControl/>
        <w:adjustRightInd w:val="0"/>
        <w:snapToGrid w:val="0"/>
        <w:spacing w:line="560" w:lineRule="exact"/>
        <w:jc w:val="left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439F59EE" w14:textId="77777777" w:rsidR="005E7A11" w:rsidRDefault="00711803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/>
          <w:color w:val="000000"/>
          <w:kern w:val="0"/>
          <w:sz w:val="24"/>
          <w:szCs w:val="24"/>
        </w:rPr>
        <w:t>特此公告。</w:t>
      </w:r>
    </w:p>
    <w:p w14:paraId="102BF090" w14:textId="77777777" w:rsidR="005E7A11" w:rsidRDefault="005E7A11">
      <w:pPr>
        <w:widowControl/>
        <w:adjustRightInd w:val="0"/>
        <w:snapToGrid w:val="0"/>
        <w:spacing w:line="560" w:lineRule="exact"/>
        <w:ind w:firstLineChars="200" w:firstLine="480"/>
        <w:jc w:val="right"/>
        <w:rPr>
          <w:rFonts w:ascii="宋体" w:hAnsi="宋体"/>
          <w:color w:val="000000"/>
          <w:kern w:val="0"/>
          <w:sz w:val="24"/>
          <w:szCs w:val="24"/>
        </w:rPr>
      </w:pPr>
    </w:p>
    <w:p w14:paraId="7EFA45D8" w14:textId="77777777" w:rsidR="005E7A11" w:rsidRDefault="00711803">
      <w:pPr>
        <w:widowControl/>
        <w:adjustRightInd w:val="0"/>
        <w:snapToGrid w:val="0"/>
        <w:spacing w:line="560" w:lineRule="exact"/>
        <w:ind w:firstLineChars="200" w:firstLine="480"/>
        <w:jc w:val="righ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安徽省交通建设股</w:t>
      </w:r>
      <w:r>
        <w:rPr>
          <w:rFonts w:ascii="宋体" w:hAnsi="宋体"/>
          <w:color w:val="000000"/>
          <w:kern w:val="0"/>
          <w:sz w:val="24"/>
          <w:szCs w:val="24"/>
        </w:rPr>
        <w:t>份有限公司董事会</w:t>
      </w:r>
    </w:p>
    <w:p w14:paraId="53CD9E03" w14:textId="4252F4EB" w:rsidR="005E7A11" w:rsidRDefault="00711803">
      <w:pPr>
        <w:widowControl/>
        <w:adjustRightInd w:val="0"/>
        <w:snapToGrid w:val="0"/>
        <w:spacing w:line="560" w:lineRule="exact"/>
        <w:ind w:firstLineChars="200" w:firstLine="480"/>
        <w:jc w:val="righ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202</w:t>
      </w:r>
      <w:r w:rsidR="002D7C3D">
        <w:rPr>
          <w:rFonts w:ascii="宋体" w:hAnsi="宋体" w:hint="eastAsia"/>
          <w:color w:val="000000"/>
          <w:kern w:val="0"/>
          <w:sz w:val="24"/>
          <w:szCs w:val="24"/>
        </w:rPr>
        <w:t>6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年 </w:t>
      </w:r>
      <w:r w:rsidR="002D7C3D">
        <w:rPr>
          <w:rFonts w:ascii="宋体" w:hAnsi="宋体" w:hint="eastAsia"/>
          <w:color w:val="000000"/>
          <w:kern w:val="0"/>
          <w:sz w:val="24"/>
          <w:szCs w:val="24"/>
        </w:rPr>
        <w:t>1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月 </w:t>
      </w:r>
      <w:r w:rsidR="002D7C3D">
        <w:rPr>
          <w:rFonts w:ascii="宋体" w:hAnsi="宋体" w:hint="eastAsia"/>
          <w:color w:val="000000"/>
          <w:kern w:val="0"/>
          <w:sz w:val="24"/>
          <w:szCs w:val="24"/>
        </w:rPr>
        <w:t>24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 日</w:t>
      </w:r>
    </w:p>
    <w:p w14:paraId="2CA8F451" w14:textId="77777777" w:rsidR="005E7A11" w:rsidRDefault="005E7A11">
      <w:pPr>
        <w:widowControl/>
        <w:adjustRightInd w:val="0"/>
        <w:snapToGrid w:val="0"/>
        <w:spacing w:line="560" w:lineRule="exact"/>
        <w:ind w:firstLineChars="200" w:firstLine="600"/>
        <w:jc w:val="righ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</w:p>
    <w:p w14:paraId="559E5B54" w14:textId="77777777" w:rsidR="005E7A11" w:rsidRDefault="005E7A11">
      <w:pPr>
        <w:widowControl/>
        <w:adjustRightInd w:val="0"/>
        <w:snapToGrid w:val="0"/>
        <w:spacing w:line="560" w:lineRule="exact"/>
        <w:ind w:firstLineChars="200" w:firstLine="600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</w:p>
    <w:p w14:paraId="1EB9F91C" w14:textId="77777777" w:rsidR="005E7A11" w:rsidRDefault="00711803">
      <w:pPr>
        <w:widowControl/>
        <w:adjustRightInd w:val="0"/>
        <w:snapToGrid w:val="0"/>
        <w:spacing w:line="560" w:lineRule="exact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/>
          <w:color w:val="000000"/>
          <w:kern w:val="0"/>
          <w:sz w:val="30"/>
          <w:szCs w:val="30"/>
        </w:rPr>
        <w:t xml:space="preserve">   </w:t>
      </w:r>
    </w:p>
    <w:sectPr w:rsidR="005E7A1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A7712B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4A70C" w14:textId="77777777" w:rsidR="009122F1" w:rsidRDefault="009122F1">
      <w:r>
        <w:separator/>
      </w:r>
    </w:p>
  </w:endnote>
  <w:endnote w:type="continuationSeparator" w:id="0">
    <w:p w14:paraId="276B82DF" w14:textId="77777777" w:rsidR="009122F1" w:rsidRDefault="0091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857938"/>
    </w:sdtPr>
    <w:sdtEndPr/>
    <w:sdtContent>
      <w:p w14:paraId="0C8B81EB" w14:textId="77777777" w:rsidR="00426593" w:rsidRDefault="0042659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753" w:rsidRPr="00055753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8D60E" w14:textId="77777777" w:rsidR="009122F1" w:rsidRDefault="009122F1">
      <w:r>
        <w:separator/>
      </w:r>
    </w:p>
  </w:footnote>
  <w:footnote w:type="continuationSeparator" w:id="0">
    <w:p w14:paraId="3573BADA" w14:textId="77777777" w:rsidR="009122F1" w:rsidRDefault="00912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E27E5"/>
    <w:multiLevelType w:val="multilevel"/>
    <w:tmpl w:val="4E1E27E5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玲">
    <w15:presenceInfo w15:providerId="None" w15:userId="林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4NDBmMTJkYzBiMThlMDhhNTE5MDJhNGRjYmJlZjQifQ=="/>
  </w:docVars>
  <w:rsids>
    <w:rsidRoot w:val="00884DF9"/>
    <w:rsid w:val="B1FFA420"/>
    <w:rsid w:val="F3EEC673"/>
    <w:rsid w:val="000015A4"/>
    <w:rsid w:val="000103F0"/>
    <w:rsid w:val="000126A7"/>
    <w:rsid w:val="00020685"/>
    <w:rsid w:val="000206DD"/>
    <w:rsid w:val="00031F40"/>
    <w:rsid w:val="00036005"/>
    <w:rsid w:val="0003624A"/>
    <w:rsid w:val="00041AEA"/>
    <w:rsid w:val="00046320"/>
    <w:rsid w:val="00055753"/>
    <w:rsid w:val="0007405B"/>
    <w:rsid w:val="00075EC7"/>
    <w:rsid w:val="000B6A99"/>
    <w:rsid w:val="000C5A23"/>
    <w:rsid w:val="000D3D6F"/>
    <w:rsid w:val="000D7BDE"/>
    <w:rsid w:val="000E358B"/>
    <w:rsid w:val="000E656D"/>
    <w:rsid w:val="000E72C7"/>
    <w:rsid w:val="000F3DEF"/>
    <w:rsid w:val="000F564C"/>
    <w:rsid w:val="000F71E4"/>
    <w:rsid w:val="00100851"/>
    <w:rsid w:val="001025EC"/>
    <w:rsid w:val="001103AC"/>
    <w:rsid w:val="0011341F"/>
    <w:rsid w:val="00117A60"/>
    <w:rsid w:val="00122D1A"/>
    <w:rsid w:val="00134972"/>
    <w:rsid w:val="001374D5"/>
    <w:rsid w:val="001435F0"/>
    <w:rsid w:val="0016059B"/>
    <w:rsid w:val="00161016"/>
    <w:rsid w:val="00166861"/>
    <w:rsid w:val="001867E3"/>
    <w:rsid w:val="00193FCA"/>
    <w:rsid w:val="001A514D"/>
    <w:rsid w:val="001A67B7"/>
    <w:rsid w:val="001B138E"/>
    <w:rsid w:val="001B4D28"/>
    <w:rsid w:val="001C106B"/>
    <w:rsid w:val="001C23A9"/>
    <w:rsid w:val="001C390B"/>
    <w:rsid w:val="001C7845"/>
    <w:rsid w:val="001D0917"/>
    <w:rsid w:val="001D2447"/>
    <w:rsid w:val="001E4193"/>
    <w:rsid w:val="001F21F7"/>
    <w:rsid w:val="001F389B"/>
    <w:rsid w:val="001F577A"/>
    <w:rsid w:val="00200BD7"/>
    <w:rsid w:val="00204EE2"/>
    <w:rsid w:val="00210DDE"/>
    <w:rsid w:val="00220145"/>
    <w:rsid w:val="00223462"/>
    <w:rsid w:val="00233D37"/>
    <w:rsid w:val="002623FE"/>
    <w:rsid w:val="00275016"/>
    <w:rsid w:val="002772BD"/>
    <w:rsid w:val="00285DE0"/>
    <w:rsid w:val="002861D3"/>
    <w:rsid w:val="00293493"/>
    <w:rsid w:val="002A1708"/>
    <w:rsid w:val="002C5EEE"/>
    <w:rsid w:val="002D69F4"/>
    <w:rsid w:val="002D7C3D"/>
    <w:rsid w:val="002E2CFD"/>
    <w:rsid w:val="002F055B"/>
    <w:rsid w:val="002F5298"/>
    <w:rsid w:val="00304112"/>
    <w:rsid w:val="0030594D"/>
    <w:rsid w:val="00307B97"/>
    <w:rsid w:val="00312A6A"/>
    <w:rsid w:val="003169A6"/>
    <w:rsid w:val="00344FC4"/>
    <w:rsid w:val="003450C7"/>
    <w:rsid w:val="00361843"/>
    <w:rsid w:val="00367068"/>
    <w:rsid w:val="003703D5"/>
    <w:rsid w:val="003779A3"/>
    <w:rsid w:val="003866B5"/>
    <w:rsid w:val="003A1F68"/>
    <w:rsid w:val="003A3E68"/>
    <w:rsid w:val="003B4A3E"/>
    <w:rsid w:val="003B7961"/>
    <w:rsid w:val="003C01AB"/>
    <w:rsid w:val="003D3EA8"/>
    <w:rsid w:val="003D7313"/>
    <w:rsid w:val="003F26E6"/>
    <w:rsid w:val="003F3770"/>
    <w:rsid w:val="00410708"/>
    <w:rsid w:val="004138D5"/>
    <w:rsid w:val="004225E9"/>
    <w:rsid w:val="00423BDB"/>
    <w:rsid w:val="00423DA0"/>
    <w:rsid w:val="00424A9C"/>
    <w:rsid w:val="00426593"/>
    <w:rsid w:val="004275A2"/>
    <w:rsid w:val="00432ADD"/>
    <w:rsid w:val="00434E24"/>
    <w:rsid w:val="004533A6"/>
    <w:rsid w:val="004563C8"/>
    <w:rsid w:val="004729A9"/>
    <w:rsid w:val="00485131"/>
    <w:rsid w:val="00494742"/>
    <w:rsid w:val="00494835"/>
    <w:rsid w:val="004A56A7"/>
    <w:rsid w:val="004A6CE1"/>
    <w:rsid w:val="004B2B14"/>
    <w:rsid w:val="004C44D2"/>
    <w:rsid w:val="004C5123"/>
    <w:rsid w:val="004C5EB8"/>
    <w:rsid w:val="004C6BC0"/>
    <w:rsid w:val="004C6C37"/>
    <w:rsid w:val="004C72DA"/>
    <w:rsid w:val="004C7361"/>
    <w:rsid w:val="004D4051"/>
    <w:rsid w:val="004D73C2"/>
    <w:rsid w:val="004F1095"/>
    <w:rsid w:val="004F1CC8"/>
    <w:rsid w:val="004F2219"/>
    <w:rsid w:val="005168D0"/>
    <w:rsid w:val="00517054"/>
    <w:rsid w:val="00535226"/>
    <w:rsid w:val="00540377"/>
    <w:rsid w:val="00542E1A"/>
    <w:rsid w:val="005436AD"/>
    <w:rsid w:val="00550E5C"/>
    <w:rsid w:val="0055322C"/>
    <w:rsid w:val="00554878"/>
    <w:rsid w:val="0055743E"/>
    <w:rsid w:val="00564E60"/>
    <w:rsid w:val="00574EED"/>
    <w:rsid w:val="005833AD"/>
    <w:rsid w:val="00592D9C"/>
    <w:rsid w:val="00596957"/>
    <w:rsid w:val="00597B44"/>
    <w:rsid w:val="005A757E"/>
    <w:rsid w:val="005C7927"/>
    <w:rsid w:val="005C7EB6"/>
    <w:rsid w:val="005D0874"/>
    <w:rsid w:val="005D7E9F"/>
    <w:rsid w:val="005E1D2A"/>
    <w:rsid w:val="005E3AB4"/>
    <w:rsid w:val="005E4D4C"/>
    <w:rsid w:val="005E7A11"/>
    <w:rsid w:val="005F197E"/>
    <w:rsid w:val="005F2FB0"/>
    <w:rsid w:val="00601E67"/>
    <w:rsid w:val="00612526"/>
    <w:rsid w:val="0064244B"/>
    <w:rsid w:val="00653994"/>
    <w:rsid w:val="00655DB6"/>
    <w:rsid w:val="00656080"/>
    <w:rsid w:val="0066019F"/>
    <w:rsid w:val="006608B9"/>
    <w:rsid w:val="006609BF"/>
    <w:rsid w:val="0066232D"/>
    <w:rsid w:val="00666F14"/>
    <w:rsid w:val="00672B3D"/>
    <w:rsid w:val="00673E87"/>
    <w:rsid w:val="00675664"/>
    <w:rsid w:val="00681848"/>
    <w:rsid w:val="0068598B"/>
    <w:rsid w:val="00685B76"/>
    <w:rsid w:val="00691996"/>
    <w:rsid w:val="006B2C0E"/>
    <w:rsid w:val="006C0665"/>
    <w:rsid w:val="006C14B9"/>
    <w:rsid w:val="006C1939"/>
    <w:rsid w:val="006C7AAF"/>
    <w:rsid w:val="006C7F53"/>
    <w:rsid w:val="006D0882"/>
    <w:rsid w:val="006D2B44"/>
    <w:rsid w:val="006D3842"/>
    <w:rsid w:val="006D3B0E"/>
    <w:rsid w:val="006D6B36"/>
    <w:rsid w:val="006F1FDB"/>
    <w:rsid w:val="006F3B7B"/>
    <w:rsid w:val="006F4656"/>
    <w:rsid w:val="006F480E"/>
    <w:rsid w:val="0070104F"/>
    <w:rsid w:val="00711803"/>
    <w:rsid w:val="007225B1"/>
    <w:rsid w:val="00726BBF"/>
    <w:rsid w:val="00730EF0"/>
    <w:rsid w:val="00732259"/>
    <w:rsid w:val="00733E97"/>
    <w:rsid w:val="00735257"/>
    <w:rsid w:val="007439B6"/>
    <w:rsid w:val="007463FD"/>
    <w:rsid w:val="00754598"/>
    <w:rsid w:val="007547D7"/>
    <w:rsid w:val="00755002"/>
    <w:rsid w:val="00755E67"/>
    <w:rsid w:val="0076362D"/>
    <w:rsid w:val="00765404"/>
    <w:rsid w:val="00777F1B"/>
    <w:rsid w:val="00782CAF"/>
    <w:rsid w:val="00786221"/>
    <w:rsid w:val="0078716D"/>
    <w:rsid w:val="00793E38"/>
    <w:rsid w:val="007B16EC"/>
    <w:rsid w:val="007B572C"/>
    <w:rsid w:val="007C17AE"/>
    <w:rsid w:val="007C23EA"/>
    <w:rsid w:val="007C5BE7"/>
    <w:rsid w:val="007C77C8"/>
    <w:rsid w:val="007D1640"/>
    <w:rsid w:val="007D239C"/>
    <w:rsid w:val="007D30EF"/>
    <w:rsid w:val="007E09D9"/>
    <w:rsid w:val="007E1145"/>
    <w:rsid w:val="007E6418"/>
    <w:rsid w:val="007F6FC8"/>
    <w:rsid w:val="00803461"/>
    <w:rsid w:val="0080385C"/>
    <w:rsid w:val="00803A39"/>
    <w:rsid w:val="0081092E"/>
    <w:rsid w:val="00810EFF"/>
    <w:rsid w:val="008161F3"/>
    <w:rsid w:val="008177C2"/>
    <w:rsid w:val="00827DDA"/>
    <w:rsid w:val="008314AE"/>
    <w:rsid w:val="00834B12"/>
    <w:rsid w:val="008359CE"/>
    <w:rsid w:val="00841623"/>
    <w:rsid w:val="008458D0"/>
    <w:rsid w:val="0085465F"/>
    <w:rsid w:val="008601CF"/>
    <w:rsid w:val="0086246D"/>
    <w:rsid w:val="00862661"/>
    <w:rsid w:val="0086788E"/>
    <w:rsid w:val="0087096A"/>
    <w:rsid w:val="00874353"/>
    <w:rsid w:val="00884DF9"/>
    <w:rsid w:val="00886BE9"/>
    <w:rsid w:val="0089151A"/>
    <w:rsid w:val="008A1F60"/>
    <w:rsid w:val="008A7E09"/>
    <w:rsid w:val="008B582B"/>
    <w:rsid w:val="008B6FBB"/>
    <w:rsid w:val="008C184B"/>
    <w:rsid w:val="008D61BD"/>
    <w:rsid w:val="008E7F6A"/>
    <w:rsid w:val="008F3193"/>
    <w:rsid w:val="00901DF7"/>
    <w:rsid w:val="00902A25"/>
    <w:rsid w:val="00902C76"/>
    <w:rsid w:val="0090311A"/>
    <w:rsid w:val="009070F6"/>
    <w:rsid w:val="009122F1"/>
    <w:rsid w:val="00925CB5"/>
    <w:rsid w:val="009300C7"/>
    <w:rsid w:val="009611F3"/>
    <w:rsid w:val="009722C3"/>
    <w:rsid w:val="00973B9A"/>
    <w:rsid w:val="009869B4"/>
    <w:rsid w:val="009904DC"/>
    <w:rsid w:val="009973CD"/>
    <w:rsid w:val="009A1CA0"/>
    <w:rsid w:val="009A2695"/>
    <w:rsid w:val="009A28D6"/>
    <w:rsid w:val="009A7B82"/>
    <w:rsid w:val="009B3E2B"/>
    <w:rsid w:val="009B79D3"/>
    <w:rsid w:val="009C081C"/>
    <w:rsid w:val="009C7BE5"/>
    <w:rsid w:val="009D0F02"/>
    <w:rsid w:val="009D59BE"/>
    <w:rsid w:val="009E74BE"/>
    <w:rsid w:val="009F50DE"/>
    <w:rsid w:val="009F7A0B"/>
    <w:rsid w:val="00A04348"/>
    <w:rsid w:val="00A0458D"/>
    <w:rsid w:val="00A12990"/>
    <w:rsid w:val="00A13161"/>
    <w:rsid w:val="00A13990"/>
    <w:rsid w:val="00A161C4"/>
    <w:rsid w:val="00A16278"/>
    <w:rsid w:val="00A17DAE"/>
    <w:rsid w:val="00A359AA"/>
    <w:rsid w:val="00A4706C"/>
    <w:rsid w:val="00A5683D"/>
    <w:rsid w:val="00A60225"/>
    <w:rsid w:val="00A83808"/>
    <w:rsid w:val="00A87C77"/>
    <w:rsid w:val="00A95954"/>
    <w:rsid w:val="00AA1D43"/>
    <w:rsid w:val="00AA2310"/>
    <w:rsid w:val="00AA5F8C"/>
    <w:rsid w:val="00AB248A"/>
    <w:rsid w:val="00AB3AEE"/>
    <w:rsid w:val="00AD3592"/>
    <w:rsid w:val="00AE578C"/>
    <w:rsid w:val="00B03469"/>
    <w:rsid w:val="00B067F6"/>
    <w:rsid w:val="00B10CA0"/>
    <w:rsid w:val="00B250B6"/>
    <w:rsid w:val="00B26AD9"/>
    <w:rsid w:val="00B33CA0"/>
    <w:rsid w:val="00B36128"/>
    <w:rsid w:val="00B37D9C"/>
    <w:rsid w:val="00B40215"/>
    <w:rsid w:val="00B41030"/>
    <w:rsid w:val="00B43D72"/>
    <w:rsid w:val="00B4401D"/>
    <w:rsid w:val="00B475F9"/>
    <w:rsid w:val="00B47A4E"/>
    <w:rsid w:val="00B50F01"/>
    <w:rsid w:val="00B54E32"/>
    <w:rsid w:val="00B60808"/>
    <w:rsid w:val="00B61E64"/>
    <w:rsid w:val="00B63BDE"/>
    <w:rsid w:val="00B71A9B"/>
    <w:rsid w:val="00B73294"/>
    <w:rsid w:val="00B74834"/>
    <w:rsid w:val="00B75153"/>
    <w:rsid w:val="00B7642B"/>
    <w:rsid w:val="00B804D3"/>
    <w:rsid w:val="00B83CC4"/>
    <w:rsid w:val="00BA2F37"/>
    <w:rsid w:val="00BB0DEC"/>
    <w:rsid w:val="00BC4993"/>
    <w:rsid w:val="00BC533B"/>
    <w:rsid w:val="00BC66AF"/>
    <w:rsid w:val="00BE4F2E"/>
    <w:rsid w:val="00C001E9"/>
    <w:rsid w:val="00C16499"/>
    <w:rsid w:val="00C2439F"/>
    <w:rsid w:val="00C24618"/>
    <w:rsid w:val="00C3199E"/>
    <w:rsid w:val="00C31C7C"/>
    <w:rsid w:val="00C339BF"/>
    <w:rsid w:val="00C348DD"/>
    <w:rsid w:val="00C360AD"/>
    <w:rsid w:val="00C43BFA"/>
    <w:rsid w:val="00C4485D"/>
    <w:rsid w:val="00C47A3F"/>
    <w:rsid w:val="00C56BFF"/>
    <w:rsid w:val="00C600F6"/>
    <w:rsid w:val="00C61F8D"/>
    <w:rsid w:val="00C72F1A"/>
    <w:rsid w:val="00C74034"/>
    <w:rsid w:val="00C75D1F"/>
    <w:rsid w:val="00C76948"/>
    <w:rsid w:val="00C85EE8"/>
    <w:rsid w:val="00C866A0"/>
    <w:rsid w:val="00CA456A"/>
    <w:rsid w:val="00CB056E"/>
    <w:rsid w:val="00CB1C47"/>
    <w:rsid w:val="00CB45FE"/>
    <w:rsid w:val="00CC19A1"/>
    <w:rsid w:val="00CD19A4"/>
    <w:rsid w:val="00CD38B2"/>
    <w:rsid w:val="00CD63FB"/>
    <w:rsid w:val="00CD714C"/>
    <w:rsid w:val="00CE1941"/>
    <w:rsid w:val="00CE2EA7"/>
    <w:rsid w:val="00CE534C"/>
    <w:rsid w:val="00CF024E"/>
    <w:rsid w:val="00CF495C"/>
    <w:rsid w:val="00CF6F69"/>
    <w:rsid w:val="00D009CD"/>
    <w:rsid w:val="00D0619B"/>
    <w:rsid w:val="00D073EC"/>
    <w:rsid w:val="00D124B6"/>
    <w:rsid w:val="00D15774"/>
    <w:rsid w:val="00D1609C"/>
    <w:rsid w:val="00D262EF"/>
    <w:rsid w:val="00D32A1F"/>
    <w:rsid w:val="00D35AF4"/>
    <w:rsid w:val="00D40E9C"/>
    <w:rsid w:val="00D4727F"/>
    <w:rsid w:val="00D47502"/>
    <w:rsid w:val="00D521C4"/>
    <w:rsid w:val="00D53A10"/>
    <w:rsid w:val="00D53E2A"/>
    <w:rsid w:val="00D64908"/>
    <w:rsid w:val="00D704DD"/>
    <w:rsid w:val="00D70BC8"/>
    <w:rsid w:val="00D711AC"/>
    <w:rsid w:val="00D750D4"/>
    <w:rsid w:val="00D866C1"/>
    <w:rsid w:val="00DB12F2"/>
    <w:rsid w:val="00DB543A"/>
    <w:rsid w:val="00DC2779"/>
    <w:rsid w:val="00DC6222"/>
    <w:rsid w:val="00DE2519"/>
    <w:rsid w:val="00DE3994"/>
    <w:rsid w:val="00DF45DE"/>
    <w:rsid w:val="00DF4DB1"/>
    <w:rsid w:val="00DF632A"/>
    <w:rsid w:val="00E02019"/>
    <w:rsid w:val="00E03629"/>
    <w:rsid w:val="00E063ED"/>
    <w:rsid w:val="00E06879"/>
    <w:rsid w:val="00E13AC1"/>
    <w:rsid w:val="00E21D65"/>
    <w:rsid w:val="00E243BD"/>
    <w:rsid w:val="00E322FF"/>
    <w:rsid w:val="00E33753"/>
    <w:rsid w:val="00E37DEE"/>
    <w:rsid w:val="00E412BC"/>
    <w:rsid w:val="00E43182"/>
    <w:rsid w:val="00E466C0"/>
    <w:rsid w:val="00E46E3A"/>
    <w:rsid w:val="00E522CB"/>
    <w:rsid w:val="00E54DB6"/>
    <w:rsid w:val="00E66B84"/>
    <w:rsid w:val="00E66F74"/>
    <w:rsid w:val="00E743B4"/>
    <w:rsid w:val="00E8494D"/>
    <w:rsid w:val="00E92069"/>
    <w:rsid w:val="00E97E97"/>
    <w:rsid w:val="00EA38A4"/>
    <w:rsid w:val="00EA5E12"/>
    <w:rsid w:val="00EB5FF6"/>
    <w:rsid w:val="00EB7824"/>
    <w:rsid w:val="00EC3253"/>
    <w:rsid w:val="00EE07CB"/>
    <w:rsid w:val="00EE3C7C"/>
    <w:rsid w:val="00EF0180"/>
    <w:rsid w:val="00EF25E2"/>
    <w:rsid w:val="00EF295D"/>
    <w:rsid w:val="00EF31E9"/>
    <w:rsid w:val="00EF47A6"/>
    <w:rsid w:val="00EF6734"/>
    <w:rsid w:val="00EF6E84"/>
    <w:rsid w:val="00F01C00"/>
    <w:rsid w:val="00F0330E"/>
    <w:rsid w:val="00F133AD"/>
    <w:rsid w:val="00F142C0"/>
    <w:rsid w:val="00F17F52"/>
    <w:rsid w:val="00F20ECA"/>
    <w:rsid w:val="00F229F6"/>
    <w:rsid w:val="00F23B51"/>
    <w:rsid w:val="00F25398"/>
    <w:rsid w:val="00F36F98"/>
    <w:rsid w:val="00F626F7"/>
    <w:rsid w:val="00F672E4"/>
    <w:rsid w:val="00F73950"/>
    <w:rsid w:val="00F76A40"/>
    <w:rsid w:val="00F82DF1"/>
    <w:rsid w:val="00F90B9D"/>
    <w:rsid w:val="00F95FF3"/>
    <w:rsid w:val="00FA4766"/>
    <w:rsid w:val="00FA725E"/>
    <w:rsid w:val="00FD2716"/>
    <w:rsid w:val="00FD6290"/>
    <w:rsid w:val="00FE3043"/>
    <w:rsid w:val="00FE31D5"/>
    <w:rsid w:val="00FE5149"/>
    <w:rsid w:val="00FE678D"/>
    <w:rsid w:val="014D2AC6"/>
    <w:rsid w:val="05682DA0"/>
    <w:rsid w:val="059A7CB8"/>
    <w:rsid w:val="0CD63834"/>
    <w:rsid w:val="10ED2754"/>
    <w:rsid w:val="1E1168AE"/>
    <w:rsid w:val="1E574E55"/>
    <w:rsid w:val="1FDF621F"/>
    <w:rsid w:val="293C4333"/>
    <w:rsid w:val="2BD95E71"/>
    <w:rsid w:val="338D61E8"/>
    <w:rsid w:val="42895EAD"/>
    <w:rsid w:val="44326CCD"/>
    <w:rsid w:val="4531158F"/>
    <w:rsid w:val="48E52298"/>
    <w:rsid w:val="49B77E87"/>
    <w:rsid w:val="54745B1B"/>
    <w:rsid w:val="5C1E5B2C"/>
    <w:rsid w:val="5DC776C3"/>
    <w:rsid w:val="5FA2300D"/>
    <w:rsid w:val="6FF76D14"/>
    <w:rsid w:val="71C360C7"/>
    <w:rsid w:val="73110421"/>
    <w:rsid w:val="738937A7"/>
    <w:rsid w:val="784E34DE"/>
    <w:rsid w:val="7AD52585"/>
    <w:rsid w:val="7F9E28E9"/>
    <w:rsid w:val="7FDEA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line="415" w:lineRule="auto"/>
      <w:jc w:val="center"/>
      <w:outlineLvl w:val="1"/>
    </w:pPr>
    <w:rPr>
      <w:rFonts w:ascii="黑体" w:eastAsia="黑体" w:hAnsi="黑体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pPr>
      <w:jc w:val="left"/>
    </w:pPr>
  </w:style>
  <w:style w:type="paragraph" w:styleId="a4">
    <w:name w:val="Body Text Indent"/>
    <w:basedOn w:val="a"/>
    <w:link w:val="Char"/>
    <w:unhideWhenUsed/>
    <w:qFormat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20">
    <w:name w:val="Body Text Indent 2"/>
    <w:basedOn w:val="a"/>
    <w:link w:val="2Char0"/>
    <w:qFormat/>
    <w:pPr>
      <w:spacing w:line="600" w:lineRule="exact"/>
      <w:ind w:firstLineChars="200" w:firstLine="600"/>
    </w:pPr>
    <w:rPr>
      <w:rFonts w:ascii="仿宋_GB2312" w:eastAsia="仿宋_GB2312" w:hAnsi="宋体"/>
      <w:sz w:val="30"/>
      <w:szCs w:val="30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Title"/>
    <w:basedOn w:val="a"/>
    <w:next w:val="a"/>
    <w:link w:val="Char4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0"/>
      <w:szCs w:val="32"/>
    </w:rPr>
  </w:style>
  <w:style w:type="paragraph" w:styleId="a9">
    <w:name w:val="annotation subject"/>
    <w:basedOn w:val="a3"/>
    <w:next w:val="a3"/>
    <w:link w:val="Char5"/>
    <w:uiPriority w:val="99"/>
    <w:semiHidden/>
    <w:unhideWhenUsed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b">
    <w:name w:val="annotation reference"/>
    <w:basedOn w:val="a0"/>
    <w:unhideWhenUsed/>
    <w:qFormat/>
    <w:rPr>
      <w:sz w:val="21"/>
      <w:szCs w:val="21"/>
    </w:rPr>
  </w:style>
  <w:style w:type="character" w:customStyle="1" w:styleId="Char4">
    <w:name w:val="标题 Char"/>
    <w:basedOn w:val="a0"/>
    <w:link w:val="a8"/>
    <w:uiPriority w:val="10"/>
    <w:qFormat/>
    <w:rPr>
      <w:rFonts w:asciiTheme="majorHAnsi" w:eastAsia="宋体" w:hAnsiTheme="majorHAnsi" w:cstheme="majorBidi"/>
      <w:b/>
      <w:bCs/>
      <w:sz w:val="30"/>
      <w:szCs w:val="32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批注文字 Char1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5">
    <w:name w:val="批注主题 Char"/>
    <w:basedOn w:val="Char1"/>
    <w:link w:val="a9"/>
    <w:uiPriority w:val="99"/>
    <w:semiHidden/>
    <w:qFormat/>
    <w:rPr>
      <w:rFonts w:ascii="Calibri" w:eastAsia="宋体" w:hAnsi="Calibri" w:cs="Times New Roman"/>
      <w:b/>
      <w:bCs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11">
    <w:name w:val="标题 1 字符"/>
    <w:basedOn w:val="a0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2">
    <w:name w:val="正文文本缩进 2 字符"/>
    <w:basedOn w:val="a0"/>
    <w:uiPriority w:val="99"/>
    <w:semiHidden/>
    <w:qFormat/>
    <w:rPr>
      <w:rFonts w:ascii="Calibri" w:eastAsia="宋体" w:hAnsi="Calibri" w:cs="Times New Roman"/>
    </w:rPr>
  </w:style>
  <w:style w:type="character" w:customStyle="1" w:styleId="2Char0">
    <w:name w:val="正文文本缩进 2 Char"/>
    <w:basedOn w:val="a0"/>
    <w:link w:val="20"/>
    <w:qFormat/>
    <w:rPr>
      <w:rFonts w:ascii="仿宋_GB2312" w:eastAsia="仿宋_GB2312" w:hAnsi="宋体" w:cs="Times New Roman"/>
      <w:sz w:val="30"/>
      <w:szCs w:val="30"/>
    </w:rPr>
  </w:style>
  <w:style w:type="character" w:customStyle="1" w:styleId="ad">
    <w:name w:val="正文文本缩进 字符"/>
    <w:basedOn w:val="a0"/>
    <w:uiPriority w:val="99"/>
    <w:semiHidden/>
    <w:qFormat/>
    <w:rPr>
      <w:rFonts w:ascii="Calibri" w:eastAsia="宋体" w:hAnsi="Calibri" w:cs="Times New Roman"/>
    </w:rPr>
  </w:style>
  <w:style w:type="character" w:customStyle="1" w:styleId="Char">
    <w:name w:val="正文文本缩进 Char"/>
    <w:basedOn w:val="a0"/>
    <w:link w:val="a4"/>
    <w:qFormat/>
    <w:rPr>
      <w:rFonts w:ascii="Times New Roman" w:eastAsia="宋体" w:hAnsi="Times New Roman" w:cs="Times New Roman"/>
      <w:szCs w:val="24"/>
    </w:rPr>
  </w:style>
  <w:style w:type="character" w:customStyle="1" w:styleId="Char6">
    <w:name w:val="批注文字 Char"/>
    <w:basedOn w:val="a0"/>
    <w:qFormat/>
    <w:rPr>
      <w:kern w:val="2"/>
      <w:sz w:val="21"/>
      <w:szCs w:val="24"/>
    </w:rPr>
  </w:style>
  <w:style w:type="character" w:customStyle="1" w:styleId="2Char">
    <w:name w:val="标题 2 Char"/>
    <w:basedOn w:val="a0"/>
    <w:link w:val="2"/>
    <w:uiPriority w:val="9"/>
    <w:qFormat/>
    <w:rPr>
      <w:rFonts w:ascii="黑体" w:eastAsia="黑体" w:hAnsi="黑体" w:cstheme="majorBidi"/>
      <w:b/>
      <w:bCs/>
      <w:sz w:val="36"/>
      <w:szCs w:val="36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23">
    <w:name w:val="修订2"/>
    <w:hidden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line="415" w:lineRule="auto"/>
      <w:jc w:val="center"/>
      <w:outlineLvl w:val="1"/>
    </w:pPr>
    <w:rPr>
      <w:rFonts w:ascii="黑体" w:eastAsia="黑体" w:hAnsi="黑体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pPr>
      <w:jc w:val="left"/>
    </w:pPr>
  </w:style>
  <w:style w:type="paragraph" w:styleId="a4">
    <w:name w:val="Body Text Indent"/>
    <w:basedOn w:val="a"/>
    <w:link w:val="Char"/>
    <w:unhideWhenUsed/>
    <w:qFormat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20">
    <w:name w:val="Body Text Indent 2"/>
    <w:basedOn w:val="a"/>
    <w:link w:val="2Char0"/>
    <w:qFormat/>
    <w:pPr>
      <w:spacing w:line="600" w:lineRule="exact"/>
      <w:ind w:firstLineChars="200" w:firstLine="600"/>
    </w:pPr>
    <w:rPr>
      <w:rFonts w:ascii="仿宋_GB2312" w:eastAsia="仿宋_GB2312" w:hAnsi="宋体"/>
      <w:sz w:val="30"/>
      <w:szCs w:val="30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Title"/>
    <w:basedOn w:val="a"/>
    <w:next w:val="a"/>
    <w:link w:val="Char4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0"/>
      <w:szCs w:val="32"/>
    </w:rPr>
  </w:style>
  <w:style w:type="paragraph" w:styleId="a9">
    <w:name w:val="annotation subject"/>
    <w:basedOn w:val="a3"/>
    <w:next w:val="a3"/>
    <w:link w:val="Char5"/>
    <w:uiPriority w:val="99"/>
    <w:semiHidden/>
    <w:unhideWhenUsed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b">
    <w:name w:val="annotation reference"/>
    <w:basedOn w:val="a0"/>
    <w:unhideWhenUsed/>
    <w:qFormat/>
    <w:rPr>
      <w:sz w:val="21"/>
      <w:szCs w:val="21"/>
    </w:rPr>
  </w:style>
  <w:style w:type="character" w:customStyle="1" w:styleId="Char4">
    <w:name w:val="标题 Char"/>
    <w:basedOn w:val="a0"/>
    <w:link w:val="a8"/>
    <w:uiPriority w:val="10"/>
    <w:qFormat/>
    <w:rPr>
      <w:rFonts w:asciiTheme="majorHAnsi" w:eastAsia="宋体" w:hAnsiTheme="majorHAnsi" w:cstheme="majorBidi"/>
      <w:b/>
      <w:bCs/>
      <w:sz w:val="30"/>
      <w:szCs w:val="32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批注文字 Char1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5">
    <w:name w:val="批注主题 Char"/>
    <w:basedOn w:val="Char1"/>
    <w:link w:val="a9"/>
    <w:uiPriority w:val="99"/>
    <w:semiHidden/>
    <w:qFormat/>
    <w:rPr>
      <w:rFonts w:ascii="Calibri" w:eastAsia="宋体" w:hAnsi="Calibri" w:cs="Times New Roman"/>
      <w:b/>
      <w:bCs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11">
    <w:name w:val="标题 1 字符"/>
    <w:basedOn w:val="a0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2">
    <w:name w:val="正文文本缩进 2 字符"/>
    <w:basedOn w:val="a0"/>
    <w:uiPriority w:val="99"/>
    <w:semiHidden/>
    <w:qFormat/>
    <w:rPr>
      <w:rFonts w:ascii="Calibri" w:eastAsia="宋体" w:hAnsi="Calibri" w:cs="Times New Roman"/>
    </w:rPr>
  </w:style>
  <w:style w:type="character" w:customStyle="1" w:styleId="2Char0">
    <w:name w:val="正文文本缩进 2 Char"/>
    <w:basedOn w:val="a0"/>
    <w:link w:val="20"/>
    <w:qFormat/>
    <w:rPr>
      <w:rFonts w:ascii="仿宋_GB2312" w:eastAsia="仿宋_GB2312" w:hAnsi="宋体" w:cs="Times New Roman"/>
      <w:sz w:val="30"/>
      <w:szCs w:val="30"/>
    </w:rPr>
  </w:style>
  <w:style w:type="character" w:customStyle="1" w:styleId="ad">
    <w:name w:val="正文文本缩进 字符"/>
    <w:basedOn w:val="a0"/>
    <w:uiPriority w:val="99"/>
    <w:semiHidden/>
    <w:qFormat/>
    <w:rPr>
      <w:rFonts w:ascii="Calibri" w:eastAsia="宋体" w:hAnsi="Calibri" w:cs="Times New Roman"/>
    </w:rPr>
  </w:style>
  <w:style w:type="character" w:customStyle="1" w:styleId="Char">
    <w:name w:val="正文文本缩进 Char"/>
    <w:basedOn w:val="a0"/>
    <w:link w:val="a4"/>
    <w:qFormat/>
    <w:rPr>
      <w:rFonts w:ascii="Times New Roman" w:eastAsia="宋体" w:hAnsi="Times New Roman" w:cs="Times New Roman"/>
      <w:szCs w:val="24"/>
    </w:rPr>
  </w:style>
  <w:style w:type="character" w:customStyle="1" w:styleId="Char6">
    <w:name w:val="批注文字 Char"/>
    <w:basedOn w:val="a0"/>
    <w:qFormat/>
    <w:rPr>
      <w:kern w:val="2"/>
      <w:sz w:val="21"/>
      <w:szCs w:val="24"/>
    </w:rPr>
  </w:style>
  <w:style w:type="character" w:customStyle="1" w:styleId="2Char">
    <w:name w:val="标题 2 Char"/>
    <w:basedOn w:val="a0"/>
    <w:link w:val="2"/>
    <w:uiPriority w:val="9"/>
    <w:qFormat/>
    <w:rPr>
      <w:rFonts w:ascii="黑体" w:eastAsia="黑体" w:hAnsi="黑体" w:cstheme="majorBidi"/>
      <w:b/>
      <w:bCs/>
      <w:sz w:val="36"/>
      <w:szCs w:val="36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23">
    <w:name w:val="修订2"/>
    <w:hidden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whzhou</dc:creator>
  <cp:lastModifiedBy>林玲</cp:lastModifiedBy>
  <cp:revision>82</cp:revision>
  <cp:lastPrinted>2026-01-23T09:22:00Z</cp:lastPrinted>
  <dcterms:created xsi:type="dcterms:W3CDTF">2022-03-02T00:46:00Z</dcterms:created>
  <dcterms:modified xsi:type="dcterms:W3CDTF">2026-01-23T09:35:00Z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C99A121BF6984210ACBB0D83FC3DABCC_13</vt:lpwstr>
  </property>
  <property fmtid="{D5CDD505-2E9C-101B-9397-08002B2CF9AE}" pid="4" name="commondata">
    <vt:lpwstr>eyJoZGlkIjoiNGQxMzIwNmQ1ZWRlMGUxNzdkYmMyYjllZjJiOWUwZDgifQ==</vt:lpwstr>
  </property>
  <property fmtid="{D5CDD505-2E9C-101B-9397-08002B2CF9AE}" pid="5" name="KSOTemplateDocerSaveRecord">
    <vt:lpwstr>eyJoZGlkIjoiOWMxOWVmOTExZTQ4MTFjYjVjZjA5Yjc0ZWIwMzRhMzIiLCJ1c2VySWQiOiIyMjY5NTg3NDUifQ==</vt:lpwstr>
  </property>
</Properties>
</file>