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E11272" w14:textId="77777777" w:rsidR="00382EB3" w:rsidRDefault="00774F2E">
      <w:pPr>
        <w:adjustRightInd w:val="0"/>
        <w:snapToGrid w:val="0"/>
        <w:spacing w:afterLines="50" w:after="156" w:line="360" w:lineRule="auto"/>
        <w:jc w:val="left"/>
        <w:rPr>
          <w:rFonts w:ascii="宋体" w:eastAsia="宋体" w:hAnsi="宋体"/>
          <w:b/>
          <w:sz w:val="24"/>
          <w:szCs w:val="24"/>
        </w:rPr>
      </w:pPr>
      <w:r>
        <w:rPr>
          <w:rFonts w:ascii="宋体" w:eastAsia="宋体" w:hAnsi="宋体"/>
          <w:sz w:val="24"/>
          <w:szCs w:val="24"/>
        </w:rPr>
        <w:t>证券代码</w:t>
      </w:r>
      <w:r>
        <w:rPr>
          <w:rFonts w:ascii="宋体" w:eastAsia="宋体" w:hAnsi="宋体"/>
          <w:spacing w:val="-8"/>
          <w:sz w:val="24"/>
          <w:szCs w:val="24"/>
        </w:rPr>
        <w:t>：603</w:t>
      </w:r>
      <w:r>
        <w:rPr>
          <w:rFonts w:ascii="宋体" w:eastAsia="宋体" w:hAnsi="宋体" w:hint="eastAsia"/>
          <w:spacing w:val="-8"/>
          <w:sz w:val="24"/>
          <w:szCs w:val="24"/>
        </w:rPr>
        <w:t>8</w:t>
      </w:r>
      <w:r>
        <w:rPr>
          <w:rFonts w:ascii="宋体" w:eastAsia="宋体" w:hAnsi="宋体"/>
          <w:spacing w:val="-8"/>
          <w:sz w:val="24"/>
          <w:szCs w:val="24"/>
        </w:rPr>
        <w:t>15</w:t>
      </w:r>
      <w:r>
        <w:rPr>
          <w:rFonts w:ascii="宋体" w:eastAsia="宋体" w:hAnsi="宋体"/>
          <w:spacing w:val="-8"/>
          <w:sz w:val="24"/>
          <w:szCs w:val="24"/>
        </w:rPr>
        <w:tab/>
      </w:r>
      <w:r>
        <w:rPr>
          <w:rFonts w:ascii="宋体" w:eastAsia="宋体" w:hAnsi="宋体" w:hint="eastAsia"/>
          <w:spacing w:val="-8"/>
          <w:sz w:val="24"/>
          <w:szCs w:val="24"/>
        </w:rPr>
        <w:t xml:space="preserve">        </w:t>
      </w:r>
      <w:r>
        <w:rPr>
          <w:rFonts w:ascii="宋体" w:eastAsia="宋体" w:hAnsi="宋体"/>
          <w:sz w:val="24"/>
          <w:szCs w:val="24"/>
        </w:rPr>
        <w:t>证券简称</w:t>
      </w:r>
      <w:r>
        <w:rPr>
          <w:rFonts w:ascii="宋体" w:eastAsia="宋体" w:hAnsi="宋体"/>
          <w:spacing w:val="-51"/>
          <w:sz w:val="24"/>
          <w:szCs w:val="24"/>
        </w:rPr>
        <w:t>：</w:t>
      </w:r>
      <w:proofErr w:type="gramStart"/>
      <w:r>
        <w:rPr>
          <w:rFonts w:ascii="宋体" w:eastAsia="宋体" w:hAnsi="宋体" w:hint="eastAsia"/>
          <w:sz w:val="24"/>
          <w:szCs w:val="24"/>
        </w:rPr>
        <w:t>交建</w:t>
      </w:r>
      <w:r>
        <w:rPr>
          <w:rFonts w:ascii="宋体" w:eastAsia="宋体" w:hAnsi="宋体"/>
          <w:sz w:val="24"/>
          <w:szCs w:val="24"/>
        </w:rPr>
        <w:t>股份</w:t>
      </w:r>
      <w:proofErr w:type="gramEnd"/>
      <w:r>
        <w:rPr>
          <w:rFonts w:ascii="宋体" w:eastAsia="宋体" w:hAnsi="宋体"/>
          <w:sz w:val="24"/>
          <w:szCs w:val="24"/>
        </w:rPr>
        <w:tab/>
      </w:r>
      <w:r>
        <w:rPr>
          <w:rFonts w:ascii="宋体" w:eastAsia="宋体" w:hAnsi="宋体" w:hint="eastAsia"/>
          <w:sz w:val="24"/>
          <w:szCs w:val="24"/>
        </w:rPr>
        <w:t xml:space="preserve">          </w:t>
      </w:r>
      <w:r>
        <w:rPr>
          <w:rFonts w:ascii="宋体" w:eastAsia="宋体" w:hAnsi="宋体"/>
          <w:sz w:val="24"/>
          <w:szCs w:val="24"/>
        </w:rPr>
        <w:t>公告编号</w:t>
      </w:r>
      <w:r>
        <w:rPr>
          <w:rFonts w:ascii="宋体" w:eastAsia="宋体" w:hAnsi="宋体"/>
          <w:spacing w:val="-51"/>
          <w:sz w:val="24"/>
          <w:szCs w:val="24"/>
        </w:rPr>
        <w:t>：</w:t>
      </w:r>
      <w:r>
        <w:rPr>
          <w:rFonts w:ascii="宋体" w:eastAsia="宋体" w:hAnsi="宋体" w:hint="eastAsia"/>
          <w:sz w:val="24"/>
          <w:szCs w:val="24"/>
        </w:rPr>
        <w:t>2026</w:t>
      </w:r>
      <w:r>
        <w:rPr>
          <w:rFonts w:ascii="宋体" w:eastAsia="宋体" w:hAnsi="宋体"/>
          <w:sz w:val="24"/>
          <w:szCs w:val="24"/>
        </w:rPr>
        <w:t>-</w:t>
      </w:r>
      <w:r>
        <w:rPr>
          <w:rFonts w:ascii="宋体" w:eastAsia="宋体" w:hAnsi="宋体" w:hint="eastAsia"/>
          <w:sz w:val="24"/>
          <w:szCs w:val="24"/>
        </w:rPr>
        <w:t>011</w:t>
      </w:r>
    </w:p>
    <w:p w14:paraId="6BF6F5C7" w14:textId="77777777" w:rsidR="00382EB3" w:rsidRDefault="00774F2E">
      <w:pPr>
        <w:snapToGrid w:val="0"/>
        <w:spacing w:before="100" w:beforeAutospacing="1" w:after="100" w:afterAutospacing="1" w:line="520" w:lineRule="exact"/>
        <w:jc w:val="center"/>
        <w:rPr>
          <w:rFonts w:ascii="黑体" w:eastAsia="黑体" w:hAnsi="黑体"/>
          <w:b/>
          <w:bCs/>
          <w:sz w:val="36"/>
          <w:szCs w:val="36"/>
        </w:rPr>
      </w:pPr>
      <w:r>
        <w:rPr>
          <w:rFonts w:ascii="黑体" w:eastAsia="黑体" w:hAnsi="黑体" w:hint="eastAsia"/>
          <w:b/>
          <w:bCs/>
          <w:sz w:val="36"/>
          <w:szCs w:val="36"/>
        </w:rPr>
        <w:t>安徽省交通建设股份有限公司</w:t>
      </w:r>
    </w:p>
    <w:p w14:paraId="1266DE5B" w14:textId="77777777" w:rsidR="00382EB3" w:rsidRDefault="00774F2E">
      <w:pPr>
        <w:snapToGrid w:val="0"/>
        <w:spacing w:before="100" w:beforeAutospacing="1" w:after="100" w:afterAutospacing="1" w:line="520" w:lineRule="exact"/>
        <w:jc w:val="center"/>
        <w:rPr>
          <w:rFonts w:ascii="黑体" w:eastAsia="黑体" w:hAnsi="黑体"/>
          <w:b/>
          <w:bCs/>
          <w:sz w:val="36"/>
          <w:szCs w:val="36"/>
        </w:rPr>
      </w:pPr>
      <w:r>
        <w:rPr>
          <w:rFonts w:ascii="黑体" w:eastAsia="黑体" w:hAnsi="黑体" w:hint="eastAsia"/>
          <w:b/>
          <w:bCs/>
          <w:sz w:val="36"/>
          <w:szCs w:val="36"/>
        </w:rPr>
        <w:t>关于诉讼进展的公告</w:t>
      </w:r>
    </w:p>
    <w:p w14:paraId="6465B6D3" w14:textId="77777777" w:rsidR="00382EB3" w:rsidRDefault="00774F2E">
      <w:pPr>
        <w:pBdr>
          <w:top w:val="single" w:sz="4" w:space="0" w:color="auto"/>
          <w:left w:val="single" w:sz="4" w:space="4" w:color="auto"/>
          <w:bottom w:val="single" w:sz="4" w:space="1" w:color="auto"/>
          <w:right w:val="single" w:sz="4" w:space="4" w:color="auto"/>
        </w:pBdr>
        <w:adjustRightInd w:val="0"/>
        <w:snapToGrid w:val="0"/>
        <w:spacing w:afterLines="50" w:after="156" w:line="360" w:lineRule="auto"/>
        <w:ind w:firstLineChars="200" w:firstLine="480"/>
        <w:rPr>
          <w:rFonts w:ascii="宋体" w:eastAsia="宋体" w:hAnsi="宋体"/>
          <w:sz w:val="24"/>
          <w:szCs w:val="24"/>
        </w:rPr>
      </w:pPr>
      <w:r>
        <w:rPr>
          <w:rFonts w:ascii="宋体" w:eastAsia="宋体" w:hAnsi="宋体" w:hint="eastAsia"/>
          <w:sz w:val="24"/>
          <w:szCs w:val="24"/>
        </w:rPr>
        <w:t>本公司董事会及全体董事保证本公告内容不存在任何虚假记载、误导性陈述或者重大遗漏，并对其内容的真实性、准确性和完整性承担法律责任。</w:t>
      </w:r>
    </w:p>
    <w:p w14:paraId="2DBD7305" w14:textId="77777777" w:rsidR="00382EB3" w:rsidRDefault="00774F2E">
      <w:pPr>
        <w:pStyle w:val="a"/>
        <w:rPr>
          <w:rFonts w:ascii="宋体" w:eastAsia="宋体" w:hAnsi="宋体"/>
          <w:sz w:val="24"/>
          <w:szCs w:val="24"/>
          <w:shd w:val="clear" w:color="auto" w:fill="FFFFFF"/>
        </w:rPr>
      </w:pPr>
      <w:r>
        <w:rPr>
          <w:rFonts w:ascii="宋体" w:eastAsia="宋体" w:hAnsi="宋体"/>
          <w:sz w:val="24"/>
          <w:szCs w:val="24"/>
          <w:shd w:val="clear" w:color="auto" w:fill="FFFFFF"/>
        </w:rPr>
        <w:t>案件所处的诉讼（仲裁）阶段</w:t>
      </w:r>
      <w:r>
        <w:rPr>
          <w:rFonts w:ascii="宋体" w:eastAsia="宋体" w:hAnsi="宋体" w:hint="eastAsia"/>
          <w:sz w:val="24"/>
          <w:szCs w:val="24"/>
          <w:shd w:val="clear" w:color="auto" w:fill="FFFFFF"/>
        </w:rPr>
        <w:t>：</w:t>
      </w:r>
      <w:bookmarkStart w:id="0" w:name="OLE_LINK6"/>
      <w:bookmarkStart w:id="1" w:name="OLE_LINK7"/>
      <w:r>
        <w:rPr>
          <w:rFonts w:ascii="宋体" w:eastAsia="宋体" w:hAnsi="宋体" w:hint="eastAsia"/>
          <w:sz w:val="24"/>
          <w:szCs w:val="24"/>
          <w:shd w:val="clear" w:color="auto" w:fill="FFFFFF"/>
        </w:rPr>
        <w:t>重审一审判决</w:t>
      </w:r>
      <w:bookmarkEnd w:id="0"/>
      <w:bookmarkEnd w:id="1"/>
    </w:p>
    <w:p w14:paraId="57F26094" w14:textId="77777777" w:rsidR="00382EB3" w:rsidRDefault="00774F2E">
      <w:pPr>
        <w:pStyle w:val="a"/>
        <w:rPr>
          <w:rFonts w:ascii="宋体" w:eastAsia="宋体" w:hAnsi="宋体"/>
          <w:sz w:val="24"/>
          <w:szCs w:val="24"/>
          <w:shd w:val="clear" w:color="auto" w:fill="FFFFFF"/>
        </w:rPr>
      </w:pPr>
      <w:r>
        <w:rPr>
          <w:rFonts w:ascii="宋体" w:eastAsia="宋体" w:hAnsi="宋体" w:hint="eastAsia"/>
          <w:sz w:val="24"/>
          <w:szCs w:val="24"/>
          <w:shd w:val="clear" w:color="auto" w:fill="FFFFFF"/>
        </w:rPr>
        <w:t>上</w:t>
      </w:r>
      <w:r>
        <w:rPr>
          <w:rFonts w:ascii="宋体" w:eastAsia="宋体" w:hAnsi="宋体"/>
          <w:sz w:val="24"/>
          <w:szCs w:val="24"/>
          <w:shd w:val="clear" w:color="auto" w:fill="FFFFFF"/>
        </w:rPr>
        <w:t>市公司所处的当事人地位</w:t>
      </w:r>
      <w:r>
        <w:rPr>
          <w:rFonts w:ascii="宋体" w:eastAsia="宋体" w:hAnsi="宋体" w:hint="eastAsia"/>
          <w:sz w:val="24"/>
          <w:szCs w:val="24"/>
          <w:shd w:val="clear" w:color="auto" w:fill="FFFFFF"/>
        </w:rPr>
        <w:t>：上市公司为原告</w:t>
      </w:r>
    </w:p>
    <w:p w14:paraId="086FFED6" w14:textId="640F10CB" w:rsidR="00382EB3" w:rsidRDefault="00774F2E" w:rsidP="00885C10">
      <w:pPr>
        <w:pStyle w:val="a"/>
        <w:rPr>
          <w:rFonts w:ascii="宋体" w:eastAsia="宋体" w:hAnsi="宋体"/>
          <w:sz w:val="24"/>
          <w:szCs w:val="24"/>
          <w:shd w:val="clear" w:color="auto" w:fill="FFFFFF"/>
        </w:rPr>
      </w:pPr>
      <w:r>
        <w:rPr>
          <w:rFonts w:ascii="宋体" w:eastAsia="宋体" w:hAnsi="宋体"/>
          <w:sz w:val="24"/>
          <w:szCs w:val="24"/>
          <w:shd w:val="clear" w:color="auto" w:fill="FFFFFF"/>
        </w:rPr>
        <w:t>涉案的金额：</w:t>
      </w:r>
      <w:bookmarkStart w:id="2" w:name="OLE_LINK10"/>
      <w:bookmarkStart w:id="3" w:name="OLE_LINK11"/>
      <w:bookmarkStart w:id="4" w:name="_GoBack"/>
      <w:r w:rsidR="00885C10" w:rsidRPr="00885C10">
        <w:rPr>
          <w:rFonts w:ascii="宋体" w:eastAsia="宋体" w:hAnsi="宋体"/>
          <w:sz w:val="24"/>
          <w:szCs w:val="24"/>
          <w:shd w:val="clear" w:color="auto" w:fill="FFFFFF"/>
        </w:rPr>
        <w:t>46,312,886.30</w:t>
      </w:r>
      <w:bookmarkEnd w:id="2"/>
      <w:bookmarkEnd w:id="3"/>
      <w:bookmarkEnd w:id="4"/>
      <w:r>
        <w:rPr>
          <w:rFonts w:ascii="宋体" w:eastAsia="宋体" w:hAnsi="宋体" w:cs="Times New Roman" w:hint="eastAsia"/>
          <w:color w:val="303133"/>
          <w:sz w:val="24"/>
          <w:szCs w:val="24"/>
          <w:shd w:val="clear" w:color="auto" w:fill="FFFFFF"/>
        </w:rPr>
        <w:t>元</w:t>
      </w:r>
    </w:p>
    <w:p w14:paraId="09726B59" w14:textId="77777777" w:rsidR="00382EB3" w:rsidRDefault="00774F2E">
      <w:pPr>
        <w:pStyle w:val="a"/>
        <w:rPr>
          <w:rFonts w:ascii="宋体" w:eastAsia="宋体" w:hAnsi="宋体"/>
          <w:sz w:val="24"/>
          <w:szCs w:val="24"/>
          <w:shd w:val="clear" w:color="auto" w:fill="FFFFFF"/>
        </w:rPr>
      </w:pPr>
      <w:r>
        <w:rPr>
          <w:rFonts w:ascii="宋体" w:eastAsia="宋体" w:hAnsi="宋体"/>
          <w:sz w:val="24"/>
          <w:szCs w:val="24"/>
          <w:shd w:val="clear" w:color="auto" w:fill="FFFFFF"/>
        </w:rPr>
        <w:t>是否会对上市公司损益产生负面影响：</w:t>
      </w:r>
      <w:r>
        <w:rPr>
          <w:rFonts w:ascii="宋体" w:eastAsia="宋体" w:hAnsi="宋体" w:hint="eastAsia"/>
          <w:sz w:val="24"/>
          <w:szCs w:val="24"/>
          <w:shd w:val="clear" w:color="auto" w:fill="FFFFFF"/>
        </w:rPr>
        <w:t>本次诉讼判决为重审一审判决，目前</w:t>
      </w:r>
      <w:r>
        <w:rPr>
          <w:rFonts w:ascii="宋体" w:eastAsia="宋体" w:hAnsi="宋体"/>
          <w:sz w:val="24"/>
          <w:szCs w:val="24"/>
        </w:rPr>
        <w:t>处于上诉期内</w:t>
      </w:r>
      <w:r>
        <w:rPr>
          <w:rFonts w:ascii="宋体" w:eastAsia="宋体" w:hAnsi="宋体" w:hint="eastAsia"/>
          <w:sz w:val="24"/>
          <w:szCs w:val="24"/>
        </w:rPr>
        <w:t>，</w:t>
      </w:r>
      <w:r>
        <w:rPr>
          <w:rFonts w:ascii="宋体" w:eastAsia="宋体" w:hAnsi="宋体" w:hint="eastAsia"/>
          <w:sz w:val="24"/>
          <w:szCs w:val="24"/>
          <w:shd w:val="clear" w:color="auto" w:fill="FFFFFF"/>
        </w:rPr>
        <w:t>尚未生效，因此无法判断本次诉讼判决结果对公司</w:t>
      </w:r>
      <w:r>
        <w:rPr>
          <w:rFonts w:ascii="宋体" w:eastAsia="宋体" w:hAnsi="宋体" w:hint="eastAsia"/>
          <w:sz w:val="24"/>
          <w:szCs w:val="24"/>
        </w:rPr>
        <w:t>本期或期后利润</w:t>
      </w:r>
      <w:r>
        <w:rPr>
          <w:rFonts w:ascii="宋体" w:eastAsia="宋体" w:hAnsi="宋体" w:hint="eastAsia"/>
          <w:sz w:val="24"/>
          <w:szCs w:val="24"/>
          <w:shd w:val="clear" w:color="auto" w:fill="FFFFFF"/>
        </w:rPr>
        <w:t>的影响</w:t>
      </w:r>
      <w:r>
        <w:rPr>
          <w:rFonts w:ascii="宋体" w:eastAsia="宋体" w:hAnsi="宋体"/>
          <w:sz w:val="24"/>
          <w:szCs w:val="24"/>
          <w:shd w:val="clear" w:color="auto" w:fill="FFFFFF"/>
        </w:rPr>
        <w:t>。</w:t>
      </w:r>
      <w:r>
        <w:rPr>
          <w:rFonts w:ascii="宋体" w:eastAsia="宋体" w:hAnsi="宋体" w:hint="eastAsia"/>
          <w:sz w:val="24"/>
          <w:szCs w:val="24"/>
          <w:shd w:val="clear" w:color="auto" w:fill="FFFFFF"/>
        </w:rPr>
        <w:t>公司将持续关注相关案件进展情况，及时履行信息披露义务，请广大投资者注意投资风险。</w:t>
      </w:r>
    </w:p>
    <w:p w14:paraId="4C6F1FC5" w14:textId="77777777" w:rsidR="00382EB3" w:rsidRDefault="00774F2E" w:rsidP="00561A12">
      <w:pPr>
        <w:spacing w:line="360" w:lineRule="auto"/>
        <w:ind w:firstLineChars="200" w:firstLine="482"/>
        <w:outlineLvl w:val="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一、诉讼案件情况</w:t>
      </w:r>
    </w:p>
    <w:p w14:paraId="46713AFD" w14:textId="0CBED527" w:rsidR="00382EB3" w:rsidRDefault="00774F2E" w:rsidP="00561A12">
      <w:pPr>
        <w:spacing w:line="360" w:lineRule="auto"/>
        <w:ind w:firstLineChars="200" w:firstLine="480"/>
        <w:rPr>
          <w:rFonts w:ascii="宋体" w:eastAsia="宋体" w:hAnsi="宋体" w:cs="Times New Roman"/>
          <w:sz w:val="24"/>
          <w:szCs w:val="24"/>
          <w:shd w:val="clear" w:color="auto" w:fill="FFFFFF"/>
        </w:rPr>
      </w:pPr>
      <w:r>
        <w:rPr>
          <w:rFonts w:ascii="宋体" w:eastAsia="宋体" w:hAnsi="宋体" w:cs="Times New Roman" w:hint="eastAsia"/>
          <w:sz w:val="24"/>
          <w:szCs w:val="24"/>
          <w:shd w:val="clear" w:color="auto" w:fill="FFFFFF"/>
        </w:rPr>
        <w:t>1.</w:t>
      </w:r>
      <w:r w:rsidR="007C3EA5">
        <w:rPr>
          <w:rFonts w:ascii="宋体" w:eastAsia="宋体" w:hAnsi="宋体" w:cs="Times New Roman" w:hint="eastAsia"/>
          <w:sz w:val="24"/>
          <w:szCs w:val="24"/>
          <w:shd w:val="clear" w:color="auto" w:fill="FFFFFF"/>
        </w:rPr>
        <w:t>重审</w:t>
      </w:r>
      <w:r>
        <w:rPr>
          <w:rFonts w:ascii="宋体" w:eastAsia="宋体" w:hAnsi="宋体" w:cs="Times New Roman" w:hint="eastAsia"/>
          <w:sz w:val="24"/>
          <w:szCs w:val="24"/>
          <w:shd w:val="clear" w:color="auto" w:fill="FFFFFF"/>
        </w:rPr>
        <w:t>受理</w:t>
      </w:r>
      <w:r>
        <w:rPr>
          <w:rFonts w:ascii="宋体" w:eastAsia="宋体" w:hAnsi="宋体" w:cs="Times New Roman"/>
          <w:sz w:val="24"/>
          <w:szCs w:val="24"/>
          <w:shd w:val="clear" w:color="auto" w:fill="FFFFFF"/>
        </w:rPr>
        <w:t>时间</w:t>
      </w:r>
      <w:r>
        <w:rPr>
          <w:rFonts w:ascii="宋体" w:eastAsia="宋体" w:hAnsi="宋体" w:cs="Times New Roman" w:hint="eastAsia"/>
          <w:sz w:val="24"/>
          <w:szCs w:val="24"/>
          <w:shd w:val="clear" w:color="auto" w:fill="FFFFFF"/>
        </w:rPr>
        <w:t>：2025年11月21日</w:t>
      </w:r>
    </w:p>
    <w:p w14:paraId="00F0D29B" w14:textId="77777777" w:rsidR="00382EB3" w:rsidRDefault="00774F2E" w:rsidP="00561A12">
      <w:pPr>
        <w:spacing w:line="360" w:lineRule="auto"/>
        <w:ind w:firstLineChars="200" w:firstLine="480"/>
        <w:rPr>
          <w:rFonts w:ascii="宋体" w:eastAsia="宋体" w:hAnsi="宋体" w:cs="Times New Roman"/>
          <w:sz w:val="24"/>
          <w:szCs w:val="24"/>
          <w:shd w:val="clear" w:color="auto" w:fill="FFFFFF"/>
        </w:rPr>
      </w:pPr>
      <w:r>
        <w:rPr>
          <w:rFonts w:ascii="宋体" w:eastAsia="宋体" w:hAnsi="宋体" w:cs="Times New Roman" w:hint="eastAsia"/>
          <w:sz w:val="24"/>
          <w:szCs w:val="24"/>
          <w:shd w:val="clear" w:color="auto" w:fill="FFFFFF"/>
        </w:rPr>
        <w:t>2.</w:t>
      </w:r>
      <w:r>
        <w:rPr>
          <w:rFonts w:ascii="宋体" w:eastAsia="宋体" w:hAnsi="宋体" w:cs="Times New Roman"/>
          <w:sz w:val="24"/>
          <w:szCs w:val="24"/>
          <w:shd w:val="clear" w:color="auto" w:fill="FFFFFF"/>
        </w:rPr>
        <w:t>诉讼机构</w:t>
      </w:r>
      <w:r>
        <w:rPr>
          <w:rFonts w:ascii="宋体" w:eastAsia="宋体" w:hAnsi="宋体" w:cs="Times New Roman" w:hint="eastAsia"/>
          <w:sz w:val="24"/>
          <w:szCs w:val="24"/>
          <w:shd w:val="clear" w:color="auto" w:fill="FFFFFF"/>
        </w:rPr>
        <w:t>：安徽省阜阳市颍州区人民法院</w:t>
      </w:r>
    </w:p>
    <w:p w14:paraId="31CC3DDB" w14:textId="77777777" w:rsidR="00382EB3" w:rsidRDefault="00774F2E" w:rsidP="00561A12">
      <w:pPr>
        <w:spacing w:line="360" w:lineRule="auto"/>
        <w:ind w:firstLineChars="200" w:firstLine="480"/>
        <w:rPr>
          <w:rFonts w:ascii="宋体" w:eastAsia="宋体" w:hAnsi="宋体" w:cs="Times New Roman"/>
          <w:sz w:val="24"/>
          <w:szCs w:val="24"/>
          <w:shd w:val="clear" w:color="auto" w:fill="FFFFFF"/>
        </w:rPr>
      </w:pPr>
      <w:r>
        <w:rPr>
          <w:rFonts w:ascii="宋体" w:eastAsia="宋体" w:hAnsi="宋体" w:cs="Times New Roman" w:hint="eastAsia"/>
          <w:sz w:val="24"/>
          <w:szCs w:val="24"/>
          <w:shd w:val="clear" w:color="auto" w:fill="FFFFFF"/>
        </w:rPr>
        <w:t>3.</w:t>
      </w:r>
      <w:r>
        <w:rPr>
          <w:rFonts w:ascii="宋体" w:eastAsia="宋体" w:hAnsi="宋体" w:cs="Times New Roman"/>
          <w:sz w:val="24"/>
          <w:szCs w:val="24"/>
          <w:shd w:val="clear" w:color="auto" w:fill="FFFFFF"/>
        </w:rPr>
        <w:t>诉讼各方当事人</w:t>
      </w:r>
    </w:p>
    <w:p w14:paraId="036DC139" w14:textId="77777777" w:rsidR="00382EB3" w:rsidRDefault="00774F2E" w:rsidP="00561A12">
      <w:pPr>
        <w:spacing w:line="360" w:lineRule="auto"/>
        <w:ind w:firstLineChars="200" w:firstLine="480"/>
        <w:rPr>
          <w:rFonts w:ascii="宋体" w:eastAsia="宋体" w:hAnsi="宋体" w:cs="Times New Roman"/>
          <w:sz w:val="24"/>
          <w:szCs w:val="24"/>
          <w:shd w:val="clear" w:color="auto" w:fill="FFFFFF"/>
        </w:rPr>
      </w:pPr>
      <w:r>
        <w:rPr>
          <w:rFonts w:ascii="宋体" w:eastAsia="宋体" w:hAnsi="宋体" w:cs="Times New Roman" w:hint="eastAsia"/>
          <w:sz w:val="24"/>
          <w:szCs w:val="24"/>
          <w:shd w:val="clear" w:color="auto" w:fill="FFFFFF"/>
        </w:rPr>
        <w:t>原告：安徽省交通建设股份有限公司</w:t>
      </w:r>
    </w:p>
    <w:p w14:paraId="3B3B6759" w14:textId="77777777" w:rsidR="00382EB3" w:rsidRDefault="00774F2E" w:rsidP="00561A12">
      <w:pPr>
        <w:spacing w:line="360" w:lineRule="auto"/>
        <w:ind w:firstLineChars="200" w:firstLine="480"/>
        <w:rPr>
          <w:rFonts w:ascii="宋体" w:eastAsia="宋体" w:hAnsi="宋体" w:cs="Times New Roman"/>
          <w:color w:val="303133"/>
          <w:sz w:val="24"/>
          <w:szCs w:val="24"/>
          <w:highlight w:val="yellow"/>
          <w:shd w:val="clear" w:color="auto" w:fill="FFFFFF"/>
        </w:rPr>
      </w:pPr>
      <w:r>
        <w:rPr>
          <w:rFonts w:ascii="宋体" w:eastAsia="宋体" w:hAnsi="宋体" w:cs="Times New Roman" w:hint="eastAsia"/>
          <w:sz w:val="24"/>
          <w:szCs w:val="24"/>
          <w:shd w:val="clear" w:color="auto" w:fill="FFFFFF"/>
        </w:rPr>
        <w:t>被告：阜阳市重点工程建设管理处</w:t>
      </w:r>
    </w:p>
    <w:p w14:paraId="6E4A0299" w14:textId="77777777" w:rsidR="00382EB3" w:rsidRDefault="00774F2E">
      <w:pPr>
        <w:spacing w:line="360" w:lineRule="auto"/>
        <w:ind w:firstLineChars="200" w:firstLine="482"/>
        <w:outlineLvl w:val="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二、诉讼案件进展情况</w:t>
      </w:r>
    </w:p>
    <w:p w14:paraId="527EAF83" w14:textId="2AF27078" w:rsidR="00382EB3" w:rsidRDefault="00774F2E">
      <w:pPr>
        <w:spacing w:line="360" w:lineRule="auto"/>
        <w:ind w:firstLineChars="200" w:firstLine="480"/>
        <w:rPr>
          <w:rFonts w:ascii="宋体" w:eastAsia="宋体" w:hAnsi="宋体" w:cs="Times New Roman"/>
          <w:color w:val="303133"/>
          <w:sz w:val="24"/>
          <w:szCs w:val="24"/>
          <w:shd w:val="clear" w:color="auto" w:fill="FFFFFF"/>
        </w:rPr>
      </w:pPr>
      <w:r>
        <w:rPr>
          <w:rFonts w:ascii="宋体" w:eastAsia="宋体" w:hAnsi="宋体" w:cs="Times New Roman" w:hint="eastAsia"/>
          <w:color w:val="303133"/>
          <w:sz w:val="24"/>
          <w:szCs w:val="24"/>
          <w:shd w:val="clear" w:color="auto" w:fill="FFFFFF"/>
        </w:rPr>
        <w:t>1、2024年5月，安徽省交通建设股份有限公司（以下</w:t>
      </w:r>
      <w:r w:rsidR="003D5D36">
        <w:rPr>
          <w:rFonts w:ascii="宋体" w:eastAsia="宋体" w:hAnsi="宋体" w:cs="Times New Roman" w:hint="eastAsia"/>
          <w:color w:val="303133"/>
          <w:sz w:val="24"/>
          <w:szCs w:val="24"/>
          <w:shd w:val="clear" w:color="auto" w:fill="FFFFFF"/>
        </w:rPr>
        <w:t>简称“公司”）诉阜阳市重点工程建设管理处建设工程施工合同纠纷</w:t>
      </w:r>
      <w:r>
        <w:rPr>
          <w:rFonts w:ascii="宋体" w:eastAsia="宋体" w:hAnsi="宋体" w:cs="Times New Roman" w:hint="eastAsia"/>
          <w:color w:val="303133"/>
          <w:sz w:val="24"/>
          <w:szCs w:val="24"/>
          <w:shd w:val="clear" w:color="auto" w:fill="FFFFFF"/>
        </w:rPr>
        <w:t>（具体详见公司于2024年5月22日在上海证券交易所网站披露的《安徽省交通建设股份有限公司关于公司涉及诉讼的公告》（公告编号：2024-039））。</w:t>
      </w:r>
    </w:p>
    <w:p w14:paraId="1FB013CB" w14:textId="7935F9CF" w:rsidR="00382EB3" w:rsidRDefault="00774F2E">
      <w:pPr>
        <w:spacing w:line="360" w:lineRule="auto"/>
        <w:ind w:firstLineChars="200" w:firstLine="480"/>
        <w:rPr>
          <w:rFonts w:ascii="宋体" w:eastAsia="宋体" w:hAnsi="宋体" w:cs="Times New Roman"/>
          <w:color w:val="303133"/>
          <w:sz w:val="24"/>
          <w:szCs w:val="24"/>
          <w:shd w:val="clear" w:color="auto" w:fill="FFFFFF"/>
        </w:rPr>
      </w:pPr>
      <w:r>
        <w:rPr>
          <w:rFonts w:ascii="宋体" w:eastAsia="宋体" w:hAnsi="宋体" w:cs="Times New Roman" w:hint="eastAsia"/>
          <w:color w:val="303133"/>
          <w:sz w:val="24"/>
          <w:szCs w:val="24"/>
          <w:shd w:val="clear" w:color="auto" w:fill="FFFFFF"/>
        </w:rPr>
        <w:t>2、2025年5月，</w:t>
      </w:r>
      <w:r>
        <w:rPr>
          <w:rFonts w:ascii="宋体" w:eastAsia="宋体" w:hAnsi="宋体" w:cs="Times New Roman" w:hint="eastAsia"/>
          <w:sz w:val="24"/>
          <w:szCs w:val="24"/>
          <w:shd w:val="clear" w:color="auto" w:fill="FFFFFF"/>
        </w:rPr>
        <w:t>安徽省阜阳市颍州区人民法院</w:t>
      </w:r>
      <w:proofErr w:type="gramStart"/>
      <w:r>
        <w:rPr>
          <w:rFonts w:ascii="宋体" w:eastAsia="宋体" w:hAnsi="宋体" w:cs="Times New Roman" w:hint="eastAsia"/>
          <w:color w:val="303133"/>
          <w:sz w:val="24"/>
          <w:szCs w:val="24"/>
          <w:shd w:val="clear" w:color="auto" w:fill="FFFFFF"/>
        </w:rPr>
        <w:t>作出</w:t>
      </w:r>
      <w:proofErr w:type="gramEnd"/>
      <w:r>
        <w:rPr>
          <w:rFonts w:ascii="宋体" w:eastAsia="宋体" w:hAnsi="宋体" w:cs="Times New Roman" w:hint="eastAsia"/>
          <w:color w:val="303133"/>
          <w:sz w:val="24"/>
          <w:szCs w:val="24"/>
          <w:shd w:val="clear" w:color="auto" w:fill="FFFFFF"/>
        </w:rPr>
        <w:t>《民事判决书》【（2024）皖1202民初7488号】，判处阜阳市重点工程建设管理处于本判决生效之日起三十日内支付公司工程款54,990,741.58元及逾期付款利息；判处阜阳市重点工程建设管理处于本判决生效之日起三十日内赔偿公司工期延误损失2,703,881.09</w:t>
      </w:r>
      <w:r w:rsidR="007E4517">
        <w:rPr>
          <w:rFonts w:ascii="宋体" w:eastAsia="宋体" w:hAnsi="宋体" w:cs="Times New Roman" w:hint="eastAsia"/>
          <w:color w:val="303133"/>
          <w:sz w:val="24"/>
          <w:szCs w:val="24"/>
          <w:shd w:val="clear" w:color="auto" w:fill="FFFFFF"/>
        </w:rPr>
        <w:lastRenderedPageBreak/>
        <w:t>元</w:t>
      </w:r>
      <w:r>
        <w:rPr>
          <w:rFonts w:ascii="宋体" w:eastAsia="宋体" w:hAnsi="宋体" w:cs="Times New Roman" w:hint="eastAsia"/>
          <w:color w:val="303133"/>
          <w:sz w:val="24"/>
          <w:szCs w:val="24"/>
          <w:shd w:val="clear" w:color="auto" w:fill="FFFFFF"/>
        </w:rPr>
        <w:t>（具体详见公司于2025年5月21日在上海证券交易所网站披露的《安徽省交通建设股份有限公司关于诉讼进展的公告》（公告编号：2025-035））</w:t>
      </w:r>
      <w:r w:rsidR="00C96B21">
        <w:rPr>
          <w:rFonts w:ascii="宋体" w:eastAsia="宋体" w:hAnsi="宋体" w:cs="Times New Roman" w:hint="eastAsia"/>
          <w:color w:val="303133"/>
          <w:sz w:val="24"/>
          <w:szCs w:val="24"/>
          <w:shd w:val="clear" w:color="auto" w:fill="FFFFFF"/>
        </w:rPr>
        <w:t>。</w:t>
      </w:r>
    </w:p>
    <w:p w14:paraId="56A193D0" w14:textId="33B8BE48" w:rsidR="00382EB3" w:rsidRDefault="00774F2E">
      <w:pPr>
        <w:spacing w:line="360" w:lineRule="auto"/>
        <w:ind w:firstLineChars="200" w:firstLine="480"/>
        <w:rPr>
          <w:rFonts w:ascii="宋体" w:eastAsia="宋体" w:hAnsi="宋体" w:cs="Times New Roman"/>
          <w:color w:val="303133"/>
          <w:sz w:val="24"/>
          <w:szCs w:val="24"/>
          <w:shd w:val="clear" w:color="auto" w:fill="FFFFFF"/>
        </w:rPr>
      </w:pPr>
      <w:r>
        <w:rPr>
          <w:rFonts w:ascii="宋体" w:eastAsia="宋体" w:hAnsi="宋体" w:cs="Times New Roman" w:hint="eastAsia"/>
          <w:color w:val="303133"/>
          <w:sz w:val="24"/>
          <w:szCs w:val="24"/>
          <w:shd w:val="clear" w:color="auto" w:fill="FFFFFF"/>
        </w:rPr>
        <w:t>3、截至</w:t>
      </w:r>
      <w:r w:rsidR="00CE7EC1">
        <w:rPr>
          <w:rFonts w:ascii="宋体" w:eastAsia="宋体" w:hAnsi="宋体" w:cs="Times New Roman" w:hint="eastAsia"/>
          <w:color w:val="303133"/>
          <w:sz w:val="24"/>
          <w:szCs w:val="24"/>
          <w:shd w:val="clear" w:color="auto" w:fill="FFFFFF"/>
        </w:rPr>
        <w:t>重审</w:t>
      </w:r>
      <w:r w:rsidR="0088334D">
        <w:rPr>
          <w:rFonts w:ascii="宋体" w:eastAsia="宋体" w:hAnsi="宋体" w:cs="Times New Roman" w:hint="eastAsia"/>
          <w:color w:val="303133"/>
          <w:sz w:val="24"/>
          <w:szCs w:val="24"/>
          <w:shd w:val="clear" w:color="auto" w:fill="FFFFFF"/>
        </w:rPr>
        <w:t>一审</w:t>
      </w:r>
      <w:r>
        <w:rPr>
          <w:rFonts w:ascii="宋体" w:eastAsia="宋体" w:hAnsi="宋体" w:cs="Times New Roman" w:hint="eastAsia"/>
          <w:color w:val="303133"/>
          <w:sz w:val="24"/>
          <w:szCs w:val="24"/>
          <w:shd w:val="clear" w:color="auto" w:fill="FFFFFF"/>
        </w:rPr>
        <w:t>判决前，被告陆续向公司支付部分款项。近日，</w:t>
      </w:r>
      <w:bookmarkStart w:id="5" w:name="OLE_LINK8"/>
      <w:bookmarkStart w:id="6" w:name="OLE_LINK9"/>
      <w:r>
        <w:rPr>
          <w:rFonts w:ascii="宋体" w:eastAsia="宋体" w:hAnsi="宋体" w:cs="Times New Roman" w:hint="eastAsia"/>
          <w:color w:val="303133"/>
          <w:sz w:val="24"/>
          <w:szCs w:val="24"/>
          <w:shd w:val="clear" w:color="auto" w:fill="FFFFFF"/>
        </w:rPr>
        <w:t>公司收到安徽省阜阳市颍州区人民法院送达的重审</w:t>
      </w:r>
      <w:r w:rsidR="0088334D">
        <w:rPr>
          <w:rFonts w:ascii="宋体" w:eastAsia="宋体" w:hAnsi="宋体" w:cs="Times New Roman" w:hint="eastAsia"/>
          <w:color w:val="303133"/>
          <w:sz w:val="24"/>
          <w:szCs w:val="24"/>
          <w:shd w:val="clear" w:color="auto" w:fill="FFFFFF"/>
        </w:rPr>
        <w:t>一审</w:t>
      </w:r>
      <w:r>
        <w:rPr>
          <w:rFonts w:ascii="宋体" w:eastAsia="宋体" w:hAnsi="宋体" w:cs="Times New Roman" w:hint="eastAsia"/>
          <w:color w:val="303133"/>
          <w:sz w:val="24"/>
          <w:szCs w:val="24"/>
          <w:shd w:val="clear" w:color="auto" w:fill="FFFFFF"/>
        </w:rPr>
        <w:t>《民事判决书》【(2025）皖1202民初22010号】，判决如下：</w:t>
      </w:r>
    </w:p>
    <w:p w14:paraId="7A6CDFE9" w14:textId="77777777" w:rsidR="00382EB3" w:rsidRDefault="00774F2E">
      <w:pPr>
        <w:spacing w:line="360" w:lineRule="auto"/>
        <w:ind w:firstLineChars="200" w:firstLine="480"/>
        <w:outlineLvl w:val="0"/>
        <w:rPr>
          <w:rFonts w:ascii="宋体" w:eastAsia="宋体" w:hAnsi="宋体" w:cs="Times New Roman"/>
          <w:color w:val="303133"/>
          <w:sz w:val="24"/>
          <w:szCs w:val="24"/>
          <w:shd w:val="clear" w:color="auto" w:fill="FFFFFF"/>
        </w:rPr>
      </w:pPr>
      <w:r>
        <w:rPr>
          <w:rFonts w:ascii="宋体" w:eastAsia="宋体" w:hAnsi="宋体" w:cs="Times New Roman" w:hint="eastAsia"/>
          <w:color w:val="303133"/>
          <w:sz w:val="24"/>
          <w:szCs w:val="24"/>
          <w:shd w:val="clear" w:color="auto" w:fill="FFFFFF"/>
        </w:rPr>
        <w:t>（1）被告阜阳市重点工程建设管理处于本判决生效之日起三十日内支付原告安徽省交通建设股份有限公司工程款32,001,141.58元及利息。</w:t>
      </w:r>
    </w:p>
    <w:p w14:paraId="1C3C1456" w14:textId="77777777" w:rsidR="00382EB3" w:rsidRDefault="00774F2E">
      <w:pPr>
        <w:spacing w:line="360" w:lineRule="auto"/>
        <w:ind w:firstLineChars="200" w:firstLine="480"/>
        <w:outlineLvl w:val="0"/>
        <w:rPr>
          <w:rFonts w:ascii="宋体" w:eastAsia="宋体" w:hAnsi="宋体" w:cs="Times New Roman"/>
          <w:color w:val="303133"/>
          <w:sz w:val="24"/>
          <w:szCs w:val="24"/>
          <w:shd w:val="clear" w:color="auto" w:fill="FFFFFF"/>
        </w:rPr>
      </w:pPr>
      <w:r>
        <w:rPr>
          <w:rFonts w:ascii="宋体" w:eastAsia="宋体" w:hAnsi="宋体" w:cs="Times New Roman" w:hint="eastAsia"/>
          <w:color w:val="303133"/>
          <w:sz w:val="24"/>
          <w:szCs w:val="24"/>
          <w:shd w:val="clear" w:color="auto" w:fill="FFFFFF"/>
        </w:rPr>
        <w:t>（2）驳回原告安徽省交通建设股份有限公司的其他诉讼请求。</w:t>
      </w:r>
      <w:bookmarkEnd w:id="5"/>
      <w:bookmarkEnd w:id="6"/>
    </w:p>
    <w:p w14:paraId="70F8977F" w14:textId="72F67B00" w:rsidR="00382EB3" w:rsidRDefault="00822488">
      <w:pPr>
        <w:spacing w:line="360" w:lineRule="auto"/>
        <w:ind w:firstLineChars="200" w:firstLine="482"/>
        <w:outlineLvl w:val="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三</w:t>
      </w:r>
      <w:r w:rsidR="00774F2E">
        <w:rPr>
          <w:rFonts w:ascii="Times New Roman" w:eastAsia="宋体" w:hAnsi="Times New Roman" w:cs="Times New Roman" w:hint="eastAsia"/>
          <w:b/>
          <w:bCs/>
          <w:sz w:val="24"/>
          <w:szCs w:val="24"/>
        </w:rPr>
        <w:t>、</w:t>
      </w:r>
      <w:r w:rsidR="00774F2E">
        <w:rPr>
          <w:rFonts w:ascii="Times New Roman" w:eastAsia="宋体" w:hAnsi="Times New Roman" w:cs="Times New Roman"/>
          <w:b/>
          <w:bCs/>
          <w:sz w:val="24"/>
          <w:szCs w:val="24"/>
        </w:rPr>
        <w:t>对公司本期利润或期后利润等的影响</w:t>
      </w:r>
    </w:p>
    <w:p w14:paraId="73AAB9F8" w14:textId="6F486548" w:rsidR="00382EB3" w:rsidRPr="00536219" w:rsidRDefault="00774F2E" w:rsidP="00536219">
      <w:pPr>
        <w:spacing w:line="360" w:lineRule="auto"/>
        <w:ind w:firstLineChars="200" w:firstLine="480"/>
        <w:outlineLvl w:val="0"/>
        <w:rPr>
          <w:rFonts w:ascii="宋体" w:eastAsia="宋体" w:hAnsi="宋体" w:cs="Times New Roman"/>
          <w:color w:val="303133"/>
          <w:sz w:val="24"/>
          <w:szCs w:val="24"/>
          <w:shd w:val="clear" w:color="auto" w:fill="FFFFFF"/>
        </w:rPr>
      </w:pPr>
      <w:r w:rsidRPr="00536219">
        <w:rPr>
          <w:rFonts w:ascii="宋体" w:eastAsia="宋体" w:hAnsi="宋体" w:cs="Times New Roman" w:hint="eastAsia"/>
          <w:color w:val="303133"/>
          <w:sz w:val="24"/>
          <w:szCs w:val="24"/>
          <w:shd w:val="clear" w:color="auto" w:fill="FFFFFF"/>
        </w:rPr>
        <w:t>本次诉讼判决为</w:t>
      </w:r>
      <w:r w:rsidR="006D3DB7" w:rsidRPr="00536219">
        <w:rPr>
          <w:rFonts w:ascii="宋体" w:eastAsia="宋体" w:hAnsi="宋体" w:cs="Times New Roman" w:hint="eastAsia"/>
          <w:color w:val="303133"/>
          <w:sz w:val="24"/>
          <w:szCs w:val="24"/>
          <w:shd w:val="clear" w:color="auto" w:fill="FFFFFF"/>
        </w:rPr>
        <w:t>重审一审</w:t>
      </w:r>
      <w:r w:rsidRPr="00536219">
        <w:rPr>
          <w:rFonts w:ascii="宋体" w:eastAsia="宋体" w:hAnsi="宋体" w:cs="Times New Roman" w:hint="eastAsia"/>
          <w:color w:val="303133"/>
          <w:sz w:val="24"/>
          <w:szCs w:val="24"/>
          <w:shd w:val="clear" w:color="auto" w:fill="FFFFFF"/>
        </w:rPr>
        <w:t>判决，目前</w:t>
      </w:r>
      <w:r w:rsidRPr="00536219">
        <w:rPr>
          <w:rFonts w:ascii="宋体" w:eastAsia="宋体" w:hAnsi="宋体" w:cs="Times New Roman"/>
          <w:color w:val="303133"/>
          <w:sz w:val="24"/>
          <w:szCs w:val="24"/>
          <w:shd w:val="clear" w:color="auto" w:fill="FFFFFF"/>
        </w:rPr>
        <w:t>处于上诉期内</w:t>
      </w:r>
      <w:r w:rsidRPr="00536219">
        <w:rPr>
          <w:rFonts w:ascii="宋体" w:eastAsia="宋体" w:hAnsi="宋体" w:cs="Times New Roman" w:hint="eastAsia"/>
          <w:color w:val="303133"/>
          <w:sz w:val="24"/>
          <w:szCs w:val="24"/>
          <w:shd w:val="clear" w:color="auto" w:fill="FFFFFF"/>
        </w:rPr>
        <w:t>，尚未生效，因此无法判断本次诉讼判决结果对公司本期或期后利润的影响</w:t>
      </w:r>
      <w:r w:rsidRPr="00536219">
        <w:rPr>
          <w:rFonts w:ascii="宋体" w:eastAsia="宋体" w:hAnsi="宋体" w:cs="Times New Roman"/>
          <w:color w:val="303133"/>
          <w:sz w:val="24"/>
          <w:szCs w:val="24"/>
          <w:shd w:val="clear" w:color="auto" w:fill="FFFFFF"/>
        </w:rPr>
        <w:t>。</w:t>
      </w:r>
      <w:r w:rsidRPr="00536219">
        <w:rPr>
          <w:rFonts w:ascii="宋体" w:eastAsia="宋体" w:hAnsi="宋体" w:cs="Times New Roman" w:hint="eastAsia"/>
          <w:color w:val="303133"/>
          <w:sz w:val="24"/>
          <w:szCs w:val="24"/>
          <w:shd w:val="clear" w:color="auto" w:fill="FFFFFF"/>
        </w:rPr>
        <w:t>公司将持续关注相关案件进展情况，及时履行信息披露义务，请广大投资者注意投资风险</w:t>
      </w:r>
      <w:r w:rsidRPr="00536219">
        <w:rPr>
          <w:rFonts w:ascii="宋体" w:eastAsia="宋体" w:hAnsi="宋体" w:cs="Times New Roman"/>
          <w:color w:val="303133"/>
          <w:sz w:val="24"/>
          <w:szCs w:val="24"/>
          <w:shd w:val="clear" w:color="auto" w:fill="FFFFFF"/>
        </w:rPr>
        <w:t>。</w:t>
      </w:r>
    </w:p>
    <w:p w14:paraId="0E90835B" w14:textId="77777777" w:rsidR="00382EB3" w:rsidRDefault="00382EB3">
      <w:pPr>
        <w:spacing w:line="360" w:lineRule="auto"/>
        <w:ind w:firstLineChars="200" w:firstLine="480"/>
        <w:rPr>
          <w:rFonts w:ascii="Times New Roman" w:eastAsia="宋体" w:hAnsi="Times New Roman" w:cs="Times New Roman"/>
          <w:color w:val="303133"/>
          <w:sz w:val="24"/>
          <w:szCs w:val="24"/>
          <w:shd w:val="clear" w:color="auto" w:fill="FFFFFF"/>
        </w:rPr>
      </w:pPr>
    </w:p>
    <w:p w14:paraId="5AC19669" w14:textId="77777777" w:rsidR="00382EB3" w:rsidRDefault="00382EB3">
      <w:pPr>
        <w:spacing w:line="360" w:lineRule="auto"/>
        <w:ind w:firstLineChars="200" w:firstLine="480"/>
        <w:rPr>
          <w:rFonts w:ascii="Times New Roman" w:eastAsia="宋体" w:hAnsi="Times New Roman" w:cs="Times New Roman"/>
          <w:color w:val="303133"/>
          <w:sz w:val="24"/>
          <w:szCs w:val="24"/>
          <w:shd w:val="clear" w:color="auto" w:fill="FFFFFF"/>
        </w:rPr>
      </w:pPr>
    </w:p>
    <w:p w14:paraId="719217BE" w14:textId="77777777" w:rsidR="00382EB3" w:rsidRDefault="00774F2E">
      <w:pPr>
        <w:adjustRightInd w:val="0"/>
        <w:snapToGrid w:val="0"/>
        <w:spacing w:afterLines="50" w:after="156" w:line="360" w:lineRule="auto"/>
        <w:ind w:firstLineChars="200" w:firstLine="480"/>
        <w:rPr>
          <w:rFonts w:ascii="宋体" w:eastAsia="宋体" w:hAnsi="宋体" w:cs="Times New Roman"/>
          <w:bCs/>
          <w:kern w:val="0"/>
          <w:sz w:val="24"/>
          <w:szCs w:val="24"/>
        </w:rPr>
      </w:pPr>
      <w:r>
        <w:rPr>
          <w:rFonts w:ascii="宋体" w:eastAsia="宋体" w:hAnsi="宋体" w:cs="Times New Roman" w:hint="eastAsia"/>
          <w:bCs/>
          <w:kern w:val="0"/>
          <w:sz w:val="24"/>
          <w:szCs w:val="24"/>
        </w:rPr>
        <w:t>特此公告。</w:t>
      </w:r>
    </w:p>
    <w:p w14:paraId="460C23AE" w14:textId="77777777" w:rsidR="00382EB3" w:rsidRDefault="00382EB3">
      <w:pPr>
        <w:adjustRightInd w:val="0"/>
        <w:snapToGrid w:val="0"/>
        <w:spacing w:afterLines="50" w:after="156" w:line="360" w:lineRule="auto"/>
        <w:ind w:firstLineChars="200" w:firstLine="480"/>
        <w:rPr>
          <w:rFonts w:ascii="宋体" w:eastAsia="宋体" w:hAnsi="宋体" w:cs="Times New Roman"/>
          <w:bCs/>
          <w:kern w:val="0"/>
          <w:sz w:val="24"/>
          <w:szCs w:val="24"/>
        </w:rPr>
      </w:pPr>
    </w:p>
    <w:p w14:paraId="5194BDC3" w14:textId="77777777" w:rsidR="00382EB3" w:rsidRDefault="00774F2E">
      <w:pPr>
        <w:adjustRightInd w:val="0"/>
        <w:snapToGrid w:val="0"/>
        <w:spacing w:afterLines="50" w:after="156" w:line="360" w:lineRule="auto"/>
        <w:ind w:firstLineChars="200" w:firstLine="480"/>
        <w:jc w:val="right"/>
        <w:rPr>
          <w:rFonts w:ascii="宋体" w:eastAsia="宋体" w:hAnsi="宋体" w:cs="Times New Roman"/>
          <w:bCs/>
          <w:kern w:val="0"/>
          <w:sz w:val="24"/>
          <w:szCs w:val="24"/>
        </w:rPr>
      </w:pPr>
      <w:r>
        <w:rPr>
          <w:rFonts w:ascii="宋体" w:eastAsia="宋体" w:hAnsi="宋体" w:cs="Times New Roman" w:hint="eastAsia"/>
          <w:bCs/>
          <w:kern w:val="0"/>
          <w:sz w:val="24"/>
          <w:szCs w:val="24"/>
        </w:rPr>
        <w:t>安徽省交通建设股份有限公司董事会</w:t>
      </w:r>
    </w:p>
    <w:p w14:paraId="5240D4A1" w14:textId="77777777" w:rsidR="00382EB3" w:rsidRDefault="00774F2E">
      <w:pPr>
        <w:adjustRightInd w:val="0"/>
        <w:snapToGrid w:val="0"/>
        <w:spacing w:afterLines="50" w:after="156" w:line="360" w:lineRule="auto"/>
        <w:ind w:firstLineChars="200" w:firstLine="480"/>
        <w:jc w:val="right"/>
        <w:rPr>
          <w:rFonts w:ascii="宋体" w:eastAsia="宋体" w:hAnsi="宋体" w:cs="Times New Roman"/>
          <w:bCs/>
          <w:kern w:val="0"/>
          <w:sz w:val="24"/>
          <w:szCs w:val="24"/>
        </w:rPr>
      </w:pPr>
      <w:r>
        <w:rPr>
          <w:rFonts w:ascii="宋体" w:eastAsia="宋体" w:hAnsi="宋体" w:cs="Times New Roman" w:hint="eastAsia"/>
          <w:bCs/>
          <w:kern w:val="0"/>
          <w:sz w:val="24"/>
          <w:szCs w:val="24"/>
        </w:rPr>
        <w:t>2026年04月16日</w:t>
      </w:r>
    </w:p>
    <w:sectPr w:rsidR="00382EB3">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10126C" w14:textId="77777777" w:rsidR="003753CB" w:rsidRDefault="003753CB" w:rsidP="00536219">
      <w:r>
        <w:separator/>
      </w:r>
    </w:p>
  </w:endnote>
  <w:endnote w:type="continuationSeparator" w:id="0">
    <w:p w14:paraId="716A4DA3" w14:textId="77777777" w:rsidR="003753CB" w:rsidRDefault="003753CB" w:rsidP="00536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F8CA56" w14:textId="77777777" w:rsidR="003753CB" w:rsidRDefault="003753CB" w:rsidP="00536219">
      <w:r>
        <w:separator/>
      </w:r>
    </w:p>
  </w:footnote>
  <w:footnote w:type="continuationSeparator" w:id="0">
    <w:p w14:paraId="295AEC8A" w14:textId="77777777" w:rsidR="003753CB" w:rsidRDefault="003753CB" w:rsidP="005362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646B16"/>
    <w:multiLevelType w:val="multilevel"/>
    <w:tmpl w:val="74646B16"/>
    <w:lvl w:ilvl="0">
      <w:start w:val="1"/>
      <w:numFmt w:val="bullet"/>
      <w:pStyle w:val="a"/>
      <w:lvlText w:val=""/>
      <w:lvlJc w:val="left"/>
      <w:pPr>
        <w:ind w:left="1020" w:hanging="420"/>
      </w:pPr>
      <w:rPr>
        <w:rFonts w:ascii="Wingdings" w:hAnsi="Wingdings" w:hint="default"/>
      </w:rPr>
    </w:lvl>
    <w:lvl w:ilvl="1">
      <w:start w:val="1"/>
      <w:numFmt w:val="bullet"/>
      <w:lvlText w:val=""/>
      <w:lvlJc w:val="left"/>
      <w:pPr>
        <w:ind w:left="1440" w:hanging="420"/>
      </w:pPr>
      <w:rPr>
        <w:rFonts w:ascii="Wingdings" w:hAnsi="Wingdings" w:hint="default"/>
      </w:rPr>
    </w:lvl>
    <w:lvl w:ilvl="2">
      <w:start w:val="1"/>
      <w:numFmt w:val="bullet"/>
      <w:lvlText w:val=""/>
      <w:lvlJc w:val="left"/>
      <w:pPr>
        <w:ind w:left="1860" w:hanging="420"/>
      </w:pPr>
      <w:rPr>
        <w:rFonts w:ascii="Wingdings" w:hAnsi="Wingdings" w:hint="default"/>
      </w:rPr>
    </w:lvl>
    <w:lvl w:ilvl="3">
      <w:start w:val="1"/>
      <w:numFmt w:val="bullet"/>
      <w:lvlText w:val=""/>
      <w:lvlJc w:val="left"/>
      <w:pPr>
        <w:ind w:left="2280" w:hanging="420"/>
      </w:pPr>
      <w:rPr>
        <w:rFonts w:ascii="Wingdings" w:hAnsi="Wingdings" w:hint="default"/>
      </w:rPr>
    </w:lvl>
    <w:lvl w:ilvl="4">
      <w:start w:val="1"/>
      <w:numFmt w:val="bullet"/>
      <w:lvlText w:val=""/>
      <w:lvlJc w:val="left"/>
      <w:pPr>
        <w:ind w:left="2700" w:hanging="420"/>
      </w:pPr>
      <w:rPr>
        <w:rFonts w:ascii="Wingdings" w:hAnsi="Wingdings" w:hint="default"/>
      </w:rPr>
    </w:lvl>
    <w:lvl w:ilvl="5">
      <w:start w:val="1"/>
      <w:numFmt w:val="bullet"/>
      <w:lvlText w:val=""/>
      <w:lvlJc w:val="left"/>
      <w:pPr>
        <w:ind w:left="3120" w:hanging="420"/>
      </w:pPr>
      <w:rPr>
        <w:rFonts w:ascii="Wingdings" w:hAnsi="Wingdings" w:hint="default"/>
      </w:rPr>
    </w:lvl>
    <w:lvl w:ilvl="6">
      <w:start w:val="1"/>
      <w:numFmt w:val="bullet"/>
      <w:lvlText w:val=""/>
      <w:lvlJc w:val="left"/>
      <w:pPr>
        <w:ind w:left="3540" w:hanging="420"/>
      </w:pPr>
      <w:rPr>
        <w:rFonts w:ascii="Wingdings" w:hAnsi="Wingdings" w:hint="default"/>
      </w:rPr>
    </w:lvl>
    <w:lvl w:ilvl="7">
      <w:start w:val="1"/>
      <w:numFmt w:val="bullet"/>
      <w:lvlText w:val=""/>
      <w:lvlJc w:val="left"/>
      <w:pPr>
        <w:ind w:left="3960" w:hanging="420"/>
      </w:pPr>
      <w:rPr>
        <w:rFonts w:ascii="Wingdings" w:hAnsi="Wingdings" w:hint="default"/>
      </w:rPr>
    </w:lvl>
    <w:lvl w:ilvl="8">
      <w:start w:val="1"/>
      <w:numFmt w:val="bullet"/>
      <w:lvlText w:val=""/>
      <w:lvlJc w:val="left"/>
      <w:pPr>
        <w:ind w:left="43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BE625B"/>
    <w:rsid w:val="0002311F"/>
    <w:rsid w:val="00035EC5"/>
    <w:rsid w:val="00040F4C"/>
    <w:rsid w:val="00044FD2"/>
    <w:rsid w:val="00065F52"/>
    <w:rsid w:val="000826E5"/>
    <w:rsid w:val="00084CCC"/>
    <w:rsid w:val="00087A17"/>
    <w:rsid w:val="00091907"/>
    <w:rsid w:val="00097E15"/>
    <w:rsid w:val="000A78B8"/>
    <w:rsid w:val="000E38E8"/>
    <w:rsid w:val="000F49F0"/>
    <w:rsid w:val="000F6CF3"/>
    <w:rsid w:val="00103F66"/>
    <w:rsid w:val="00112CC6"/>
    <w:rsid w:val="00115970"/>
    <w:rsid w:val="00116ACA"/>
    <w:rsid w:val="00116D65"/>
    <w:rsid w:val="001173B5"/>
    <w:rsid w:val="0012059C"/>
    <w:rsid w:val="00124508"/>
    <w:rsid w:val="0014701C"/>
    <w:rsid w:val="00150F0F"/>
    <w:rsid w:val="001737A2"/>
    <w:rsid w:val="00196867"/>
    <w:rsid w:val="0019698D"/>
    <w:rsid w:val="001B073B"/>
    <w:rsid w:val="001B2205"/>
    <w:rsid w:val="001B4AE4"/>
    <w:rsid w:val="00217A2D"/>
    <w:rsid w:val="002240AB"/>
    <w:rsid w:val="00237CFC"/>
    <w:rsid w:val="002411BF"/>
    <w:rsid w:val="00247655"/>
    <w:rsid w:val="002543DE"/>
    <w:rsid w:val="00257DFD"/>
    <w:rsid w:val="00260198"/>
    <w:rsid w:val="0026145B"/>
    <w:rsid w:val="0026154C"/>
    <w:rsid w:val="002701A7"/>
    <w:rsid w:val="00276788"/>
    <w:rsid w:val="0028758D"/>
    <w:rsid w:val="00293017"/>
    <w:rsid w:val="00296098"/>
    <w:rsid w:val="002979E6"/>
    <w:rsid w:val="002A285B"/>
    <w:rsid w:val="002A3DE8"/>
    <w:rsid w:val="002B1B58"/>
    <w:rsid w:val="002B3A6C"/>
    <w:rsid w:val="002C284E"/>
    <w:rsid w:val="002D1CD9"/>
    <w:rsid w:val="002D2F58"/>
    <w:rsid w:val="002D6353"/>
    <w:rsid w:val="002E2EC9"/>
    <w:rsid w:val="002F2F22"/>
    <w:rsid w:val="002F6974"/>
    <w:rsid w:val="00306551"/>
    <w:rsid w:val="003227D3"/>
    <w:rsid w:val="0034519B"/>
    <w:rsid w:val="0034610C"/>
    <w:rsid w:val="003503BB"/>
    <w:rsid w:val="003614DE"/>
    <w:rsid w:val="0036389D"/>
    <w:rsid w:val="00364005"/>
    <w:rsid w:val="00375092"/>
    <w:rsid w:val="003753CB"/>
    <w:rsid w:val="00382EB3"/>
    <w:rsid w:val="003A1943"/>
    <w:rsid w:val="003B7367"/>
    <w:rsid w:val="003B7406"/>
    <w:rsid w:val="003C6315"/>
    <w:rsid w:val="003D2218"/>
    <w:rsid w:val="003D3DB2"/>
    <w:rsid w:val="003D5D36"/>
    <w:rsid w:val="003E5648"/>
    <w:rsid w:val="003F38EB"/>
    <w:rsid w:val="0040120E"/>
    <w:rsid w:val="004067C3"/>
    <w:rsid w:val="00417039"/>
    <w:rsid w:val="00434EE1"/>
    <w:rsid w:val="0044477F"/>
    <w:rsid w:val="00444CF7"/>
    <w:rsid w:val="00445FA8"/>
    <w:rsid w:val="00447A61"/>
    <w:rsid w:val="00450649"/>
    <w:rsid w:val="004E7CE3"/>
    <w:rsid w:val="004F0AA8"/>
    <w:rsid w:val="004F1BE7"/>
    <w:rsid w:val="004F770E"/>
    <w:rsid w:val="00501827"/>
    <w:rsid w:val="005155E4"/>
    <w:rsid w:val="00520F56"/>
    <w:rsid w:val="00524BD6"/>
    <w:rsid w:val="00535483"/>
    <w:rsid w:val="00536219"/>
    <w:rsid w:val="00553718"/>
    <w:rsid w:val="00561A12"/>
    <w:rsid w:val="00571367"/>
    <w:rsid w:val="0057673F"/>
    <w:rsid w:val="00581ABA"/>
    <w:rsid w:val="005828A7"/>
    <w:rsid w:val="00582B8C"/>
    <w:rsid w:val="00592C27"/>
    <w:rsid w:val="00596529"/>
    <w:rsid w:val="005A5327"/>
    <w:rsid w:val="005A6588"/>
    <w:rsid w:val="005D617E"/>
    <w:rsid w:val="005E3E57"/>
    <w:rsid w:val="005E4C67"/>
    <w:rsid w:val="005E66A3"/>
    <w:rsid w:val="005E7C6A"/>
    <w:rsid w:val="006075A2"/>
    <w:rsid w:val="00615B5E"/>
    <w:rsid w:val="00623EBE"/>
    <w:rsid w:val="006277C6"/>
    <w:rsid w:val="006325EB"/>
    <w:rsid w:val="006342A2"/>
    <w:rsid w:val="00653E58"/>
    <w:rsid w:val="00693A3D"/>
    <w:rsid w:val="00694C2B"/>
    <w:rsid w:val="006B6F57"/>
    <w:rsid w:val="006C14F5"/>
    <w:rsid w:val="006C2021"/>
    <w:rsid w:val="006D3DB7"/>
    <w:rsid w:val="006E1F95"/>
    <w:rsid w:val="006E567A"/>
    <w:rsid w:val="00704D04"/>
    <w:rsid w:val="00716999"/>
    <w:rsid w:val="007229CE"/>
    <w:rsid w:val="00731A06"/>
    <w:rsid w:val="00734386"/>
    <w:rsid w:val="0074367C"/>
    <w:rsid w:val="00746F05"/>
    <w:rsid w:val="00763435"/>
    <w:rsid w:val="00766088"/>
    <w:rsid w:val="007669D0"/>
    <w:rsid w:val="00774F2E"/>
    <w:rsid w:val="00776C6E"/>
    <w:rsid w:val="007852A8"/>
    <w:rsid w:val="007B3A8C"/>
    <w:rsid w:val="007C3EA5"/>
    <w:rsid w:val="007E1A44"/>
    <w:rsid w:val="007E4517"/>
    <w:rsid w:val="007E5B97"/>
    <w:rsid w:val="007E61E7"/>
    <w:rsid w:val="0081094B"/>
    <w:rsid w:val="00813C56"/>
    <w:rsid w:val="00816C4A"/>
    <w:rsid w:val="00822488"/>
    <w:rsid w:val="00824AFD"/>
    <w:rsid w:val="0083007B"/>
    <w:rsid w:val="00835FD8"/>
    <w:rsid w:val="00845DFB"/>
    <w:rsid w:val="00852D91"/>
    <w:rsid w:val="00865983"/>
    <w:rsid w:val="00865EAC"/>
    <w:rsid w:val="0088334D"/>
    <w:rsid w:val="00885C10"/>
    <w:rsid w:val="00893769"/>
    <w:rsid w:val="00897649"/>
    <w:rsid w:val="008A6E06"/>
    <w:rsid w:val="008C6C31"/>
    <w:rsid w:val="008D20D2"/>
    <w:rsid w:val="008E22C9"/>
    <w:rsid w:val="00932DF8"/>
    <w:rsid w:val="00933EFF"/>
    <w:rsid w:val="00941AF2"/>
    <w:rsid w:val="00961694"/>
    <w:rsid w:val="009667F7"/>
    <w:rsid w:val="00972051"/>
    <w:rsid w:val="0097612C"/>
    <w:rsid w:val="00983D45"/>
    <w:rsid w:val="009B2FD2"/>
    <w:rsid w:val="009B5301"/>
    <w:rsid w:val="009C2773"/>
    <w:rsid w:val="009D7DD6"/>
    <w:rsid w:val="009E04C6"/>
    <w:rsid w:val="009F3A7C"/>
    <w:rsid w:val="009F704E"/>
    <w:rsid w:val="00A06C48"/>
    <w:rsid w:val="00A07C78"/>
    <w:rsid w:val="00A21A11"/>
    <w:rsid w:val="00A25082"/>
    <w:rsid w:val="00A36D5D"/>
    <w:rsid w:val="00A43BAB"/>
    <w:rsid w:val="00A62DCA"/>
    <w:rsid w:val="00A67F6D"/>
    <w:rsid w:val="00AC3163"/>
    <w:rsid w:val="00AC4580"/>
    <w:rsid w:val="00AC5051"/>
    <w:rsid w:val="00AC5A7F"/>
    <w:rsid w:val="00AE20DF"/>
    <w:rsid w:val="00AE3AB4"/>
    <w:rsid w:val="00AF016D"/>
    <w:rsid w:val="00B425E0"/>
    <w:rsid w:val="00B70893"/>
    <w:rsid w:val="00B95785"/>
    <w:rsid w:val="00BA7D03"/>
    <w:rsid w:val="00BB5F87"/>
    <w:rsid w:val="00BD1952"/>
    <w:rsid w:val="00BD2398"/>
    <w:rsid w:val="00BD3D76"/>
    <w:rsid w:val="00BE2B11"/>
    <w:rsid w:val="00BE3A95"/>
    <w:rsid w:val="00BE625B"/>
    <w:rsid w:val="00BF3388"/>
    <w:rsid w:val="00BF750A"/>
    <w:rsid w:val="00C01768"/>
    <w:rsid w:val="00C05539"/>
    <w:rsid w:val="00C22C13"/>
    <w:rsid w:val="00C237BC"/>
    <w:rsid w:val="00C60F61"/>
    <w:rsid w:val="00C66F65"/>
    <w:rsid w:val="00C80504"/>
    <w:rsid w:val="00C8176A"/>
    <w:rsid w:val="00C96B21"/>
    <w:rsid w:val="00CA4337"/>
    <w:rsid w:val="00CB1175"/>
    <w:rsid w:val="00CD0120"/>
    <w:rsid w:val="00CD61AC"/>
    <w:rsid w:val="00CE7EC1"/>
    <w:rsid w:val="00CF0893"/>
    <w:rsid w:val="00D034A3"/>
    <w:rsid w:val="00D10833"/>
    <w:rsid w:val="00D10EDF"/>
    <w:rsid w:val="00D1618B"/>
    <w:rsid w:val="00D4178F"/>
    <w:rsid w:val="00D5009F"/>
    <w:rsid w:val="00D650ED"/>
    <w:rsid w:val="00D76C6D"/>
    <w:rsid w:val="00DB38DB"/>
    <w:rsid w:val="00DC245F"/>
    <w:rsid w:val="00DD008F"/>
    <w:rsid w:val="00DE06BF"/>
    <w:rsid w:val="00DE3495"/>
    <w:rsid w:val="00E00BD5"/>
    <w:rsid w:val="00E00CFD"/>
    <w:rsid w:val="00E02D49"/>
    <w:rsid w:val="00E15DCC"/>
    <w:rsid w:val="00E172EB"/>
    <w:rsid w:val="00E25EFE"/>
    <w:rsid w:val="00E44187"/>
    <w:rsid w:val="00E56B13"/>
    <w:rsid w:val="00E7655E"/>
    <w:rsid w:val="00E85022"/>
    <w:rsid w:val="00E9709A"/>
    <w:rsid w:val="00EA482E"/>
    <w:rsid w:val="00EB45D1"/>
    <w:rsid w:val="00EC5BB8"/>
    <w:rsid w:val="00EE3AE4"/>
    <w:rsid w:val="00EE66A9"/>
    <w:rsid w:val="00EE690F"/>
    <w:rsid w:val="00F3025B"/>
    <w:rsid w:val="00F31E6F"/>
    <w:rsid w:val="00F400E9"/>
    <w:rsid w:val="00F42C4C"/>
    <w:rsid w:val="00F5656B"/>
    <w:rsid w:val="00F606B8"/>
    <w:rsid w:val="00F649A5"/>
    <w:rsid w:val="00F93295"/>
    <w:rsid w:val="00F96FED"/>
    <w:rsid w:val="00FA0616"/>
    <w:rsid w:val="00FA15D7"/>
    <w:rsid w:val="00FB2780"/>
    <w:rsid w:val="00FC7926"/>
    <w:rsid w:val="00FD3917"/>
    <w:rsid w:val="0A1C1CE1"/>
    <w:rsid w:val="0C740C26"/>
    <w:rsid w:val="19376C13"/>
    <w:rsid w:val="2BD1187D"/>
    <w:rsid w:val="39E32C07"/>
    <w:rsid w:val="3BD553B9"/>
    <w:rsid w:val="44024872"/>
    <w:rsid w:val="47202306"/>
    <w:rsid w:val="4C73501E"/>
    <w:rsid w:val="5165144E"/>
    <w:rsid w:val="53826497"/>
    <w:rsid w:val="54143903"/>
    <w:rsid w:val="6CF55E4F"/>
    <w:rsid w:val="794162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annotation subjec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heme="minorHAnsi" w:eastAsiaTheme="minorEastAsia" w:hAnsiTheme="minorHAnsi" w:cstheme="minorBid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annotation text"/>
    <w:basedOn w:val="a0"/>
    <w:link w:val="Char"/>
    <w:uiPriority w:val="99"/>
    <w:semiHidden/>
    <w:unhideWhenUsed/>
    <w:pPr>
      <w:jc w:val="left"/>
    </w:pPr>
  </w:style>
  <w:style w:type="paragraph" w:styleId="a5">
    <w:name w:val="Balloon Text"/>
    <w:basedOn w:val="a0"/>
    <w:link w:val="Char0"/>
    <w:uiPriority w:val="99"/>
    <w:semiHidden/>
    <w:unhideWhenUsed/>
    <w:rPr>
      <w:sz w:val="18"/>
      <w:szCs w:val="18"/>
    </w:rPr>
  </w:style>
  <w:style w:type="paragraph" w:styleId="a6">
    <w:name w:val="footer"/>
    <w:basedOn w:val="a0"/>
    <w:link w:val="Char1"/>
    <w:uiPriority w:val="99"/>
    <w:unhideWhenUsed/>
    <w:pPr>
      <w:tabs>
        <w:tab w:val="center" w:pos="4153"/>
        <w:tab w:val="right" w:pos="8306"/>
      </w:tabs>
      <w:snapToGrid w:val="0"/>
      <w:jc w:val="left"/>
    </w:pPr>
    <w:rPr>
      <w:sz w:val="18"/>
      <w:szCs w:val="18"/>
    </w:rPr>
  </w:style>
  <w:style w:type="paragraph" w:styleId="a7">
    <w:name w:val="header"/>
    <w:basedOn w:val="a0"/>
    <w:link w:val="Char2"/>
    <w:uiPriority w:val="99"/>
    <w:unhideWhenUsed/>
    <w:pPr>
      <w:pBdr>
        <w:bottom w:val="single" w:sz="6" w:space="1" w:color="auto"/>
      </w:pBdr>
      <w:tabs>
        <w:tab w:val="center" w:pos="4153"/>
        <w:tab w:val="right" w:pos="8306"/>
      </w:tabs>
      <w:snapToGrid w:val="0"/>
      <w:jc w:val="center"/>
    </w:pPr>
    <w:rPr>
      <w:sz w:val="18"/>
      <w:szCs w:val="18"/>
    </w:rPr>
  </w:style>
  <w:style w:type="paragraph" w:styleId="a8">
    <w:name w:val="Normal (Web)"/>
    <w:basedOn w:val="a0"/>
    <w:uiPriority w:val="99"/>
    <w:unhideWhenUsed/>
    <w:pPr>
      <w:widowControl/>
      <w:spacing w:before="100" w:beforeAutospacing="1" w:after="100" w:afterAutospacing="1"/>
      <w:jc w:val="left"/>
    </w:pPr>
    <w:rPr>
      <w:rFonts w:ascii="宋体" w:eastAsia="宋体" w:hAnsi="宋体" w:cs="宋体"/>
      <w:kern w:val="0"/>
      <w:sz w:val="24"/>
      <w:szCs w:val="24"/>
    </w:rPr>
  </w:style>
  <w:style w:type="paragraph" w:styleId="a9">
    <w:name w:val="annotation subject"/>
    <w:basedOn w:val="a4"/>
    <w:next w:val="a4"/>
    <w:link w:val="Char3"/>
    <w:uiPriority w:val="99"/>
    <w:semiHidden/>
    <w:unhideWhenUsed/>
    <w:qFormat/>
    <w:rPr>
      <w:b/>
      <w:bCs/>
    </w:rPr>
  </w:style>
  <w:style w:type="character" w:styleId="aa">
    <w:name w:val="annotation reference"/>
    <w:basedOn w:val="a1"/>
    <w:uiPriority w:val="99"/>
    <w:semiHidden/>
    <w:unhideWhenUsed/>
    <w:rPr>
      <w:sz w:val="21"/>
      <w:szCs w:val="21"/>
    </w:rPr>
  </w:style>
  <w:style w:type="character" w:customStyle="1" w:styleId="Char2">
    <w:name w:val="页眉 Char"/>
    <w:basedOn w:val="a1"/>
    <w:link w:val="a7"/>
    <w:uiPriority w:val="99"/>
    <w:rPr>
      <w:kern w:val="2"/>
      <w:sz w:val="18"/>
      <w:szCs w:val="18"/>
    </w:rPr>
  </w:style>
  <w:style w:type="character" w:customStyle="1" w:styleId="Char1">
    <w:name w:val="页脚 Char"/>
    <w:basedOn w:val="a1"/>
    <w:link w:val="a6"/>
    <w:uiPriority w:val="99"/>
    <w:qFormat/>
    <w:rPr>
      <w:kern w:val="2"/>
      <w:sz w:val="18"/>
      <w:szCs w:val="18"/>
    </w:rPr>
  </w:style>
  <w:style w:type="character" w:customStyle="1" w:styleId="Char">
    <w:name w:val="批注文字 Char"/>
    <w:basedOn w:val="a1"/>
    <w:link w:val="a4"/>
    <w:uiPriority w:val="99"/>
    <w:semiHidden/>
    <w:rPr>
      <w:kern w:val="2"/>
      <w:sz w:val="21"/>
      <w:szCs w:val="22"/>
    </w:rPr>
  </w:style>
  <w:style w:type="character" w:customStyle="1" w:styleId="Char3">
    <w:name w:val="批注主题 Char"/>
    <w:basedOn w:val="Char"/>
    <w:link w:val="a9"/>
    <w:uiPriority w:val="99"/>
    <w:semiHidden/>
    <w:rPr>
      <w:b/>
      <w:bCs/>
      <w:kern w:val="2"/>
      <w:sz w:val="21"/>
      <w:szCs w:val="22"/>
    </w:rPr>
  </w:style>
  <w:style w:type="character" w:customStyle="1" w:styleId="Char0">
    <w:name w:val="批注框文本 Char"/>
    <w:basedOn w:val="a1"/>
    <w:link w:val="a5"/>
    <w:uiPriority w:val="99"/>
    <w:semiHidden/>
    <w:qFormat/>
    <w:rPr>
      <w:kern w:val="2"/>
      <w:sz w:val="18"/>
      <w:szCs w:val="18"/>
    </w:rPr>
  </w:style>
  <w:style w:type="paragraph" w:styleId="a">
    <w:name w:val="List Paragraph"/>
    <w:basedOn w:val="a0"/>
    <w:autoRedefine/>
    <w:uiPriority w:val="34"/>
    <w:qFormat/>
    <w:pPr>
      <w:numPr>
        <w:numId w:val="1"/>
      </w:numPr>
      <w:spacing w:before="100" w:beforeAutospacing="1" w:line="360" w:lineRule="auto"/>
      <w:ind w:left="0" w:firstLine="420"/>
    </w:pPr>
  </w:style>
  <w:style w:type="paragraph" w:customStyle="1" w:styleId="1">
    <w:name w:val="修订1"/>
    <w:hidden/>
    <w:uiPriority w:val="99"/>
    <w:semiHidden/>
    <w:qFormat/>
    <w:rPr>
      <w:rFonts w:asciiTheme="minorHAnsi" w:eastAsiaTheme="minorEastAsia" w:hAnsiTheme="minorHAnsi" w:cstheme="minorBidi"/>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12508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fbd18f33-615d-4ad6-84e8-5e9fe4da073c</errorID>
      <errorWord>（</errorWord>
      <group>L1_Punc</group>
      <groupName>标点问题</groupName>
      <ability>L2_Punc</ability>
      <abilityName>标点符号检查</abilityName>
      <candidateList/>
      <explain>同一形式括号套用。</explain>
      <paraID>527EAF83</paraID>
      <start>133</start>
      <end>134</end>
      <status>unmodified</status>
      <modifiedWord/>
      <trackRevisions>false</trackRevisions>
    </reviewItem>
    <reviewItem>
      <errorID>c7a9f39a-030e-44c9-9e5e-1d26b0955446</errorID>
      <errorWord>）</errorWord>
      <group>L1_Punc</group>
      <groupName>标点问题</groupName>
      <ability>L2_Punc</ability>
      <abilityName>标点符号检查</abilityName>
      <candidateList/>
      <explain>同一形式括号套用。</explain>
      <paraID>527EAF83</paraID>
      <start>147</start>
      <end>148</end>
      <status>unmodified</status>
      <modifiedWord/>
      <trackRevisions>false</trackRevisions>
    </reviewItem>
    <reviewItem>
      <errorID>356f3dc8-68b6-436c-bb44-f234acef62ad</errorID>
      <errorWord>（</errorWord>
      <group>L1_Punc</group>
      <groupName>标点问题</groupName>
      <ability>L2_Punc</ability>
      <abilityName>标点符号检查</abilityName>
      <candidateList/>
      <explain>同一形式括号套用。</explain>
      <paraID>1FB013CB</paraID>
      <start>222</start>
      <end>223</end>
      <status>unmodified</status>
      <modifiedWord/>
      <trackRevisions>false</trackRevisions>
    </reviewItem>
    <reviewItem>
      <errorID>deead353-9c05-40e0-a8db-ce6009464153</errorID>
      <errorWord>）</errorWord>
      <group>L1_Punc</group>
      <groupName>标点问题</groupName>
      <ability>L2_Punc</ability>
      <abilityName>标点符号检查</abilityName>
      <candidateList/>
      <explain>同一形式括号套用。</explain>
      <paraID>1FB013CB</paraID>
      <start>236</start>
      <end>237</end>
      <status>unmodified</status>
      <modifiedWord/>
      <trackRevisions>false</trackRevisions>
    </reviewItem>
    <reviewItem>
      <errorID>da320deb-00eb-45a3-a9f7-2baa95d9f924</errorID>
      <errorWord>)</errorWord>
      <group>L1_Format</group>
      <groupName>格式问题</groupName>
      <ability>L2_HalfPunc</ability>
      <abilityName>全半角检查</abilityName>
      <candidateList>
        <item>）</item>
      </candidateList>
      <explain>文本全半角错误。</explain>
      <paraID>56A193D0</paraID>
      <start>40</start>
      <end>41</end>
      <status>modified</status>
      <modifiedWord>）</modifiedWord>
      <trackRevisions>false</trackRevisions>
    </reviewItem>
    <reviewItem>
      <errorID>0679bdd7-d766-43a4-90d6-b9a69724322b</errorID>
      <errorWord>2026年04月15日</errorWord>
      <group>L1_Knowledge</group>
      <groupName>知识性问题</groupName>
      <ability>L2_Time</ability>
      <abilityName>日期时间</abilityName>
      <candidateList>
        <item>2026年4月15日</item>
      </candidateList>
      <explain>根据日常书写习惯，月份一般会省略前导零。</explain>
      <paraID>5240D4A1</paraID>
      <start>0</start>
      <end>11</end>
      <status>ignored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903454C-381D-48F8-A8F5-82389D9E859B}">
  <ds:schemaRefs>
    <ds:schemaRef ds:uri="http://schemas.wps.cn/vas-ai-hub/contract-review"/>
  </ds:schemaRefs>
</ds:datastoreItem>
</file>

<file path=customXml/itemProps2.xml><?xml version="1.0" encoding="utf-8"?>
<ds:datastoreItem xmlns:ds="http://schemas.openxmlformats.org/officeDocument/2006/customXml" ds:itemID="{07A66B61-2BB5-4540-A99C-C476CDB91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2</Pages>
  <Words>494</Words>
  <Characters>634</Characters>
  <Application>Microsoft Office Word</Application>
  <DocSecurity>0</DocSecurity>
  <Lines>70</Lines>
  <Paragraphs>66</Paragraphs>
  <ScaleCrop>false</ScaleCrop>
  <Company/>
  <LinksUpToDate>false</LinksUpToDate>
  <CharactersWithSpaces>1062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林玲</cp:lastModifiedBy>
  <cp:revision>160</cp:revision>
  <cp:lastPrinted>2026-04-15T06:22:00Z</cp:lastPrinted>
  <dcterms:created xsi:type="dcterms:W3CDTF">2020-02-24T08:42:00Z</dcterms:created>
  <dcterms:modified xsi:type="dcterms:W3CDTF">2026-04-23T02:13:00Z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eyJoZGlkIjoiYWRiMTM0ZWMzMDZmNmY4MmRkZTQ4YWJmYzY4NDBjYjMiLCJ1c2VySWQiOiIzMDQ1NjczMDgifQ==</vt:lpwstr>
  </property>
  <property fmtid="{D5CDD505-2E9C-101B-9397-08002B2CF9AE}" pid="4" name="ICV">
    <vt:lpwstr>E5F4EB4A9213423A9BAFC6558DDADBFE_12</vt:lpwstr>
  </property>
</Properties>
</file>