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2EAAF">
      <w:pPr>
        <w:spacing w:line="360" w:lineRule="auto"/>
        <w:ind w:firstLine="723" w:firstLineChars="200"/>
        <w:jc w:val="center"/>
        <w:rPr>
          <w:rFonts w:hint="eastAsia" w:asciiTheme="minorEastAsia" w:hAnsiTheme="minorEastAsia"/>
          <w:b/>
          <w:bCs/>
          <w:color w:val="000000" w:themeColor="text1"/>
          <w:sz w:val="36"/>
          <w:szCs w:val="36"/>
          <w14:textFill>
            <w14:solidFill>
              <w14:schemeClr w14:val="tx1"/>
            </w14:solidFill>
          </w14:textFill>
        </w:rPr>
      </w:pPr>
      <w:bookmarkStart w:id="0" w:name="_GoBack"/>
      <w:bookmarkEnd w:id="0"/>
      <w:r>
        <w:rPr>
          <w:rFonts w:asciiTheme="minorEastAsia" w:hAnsiTheme="minorEastAsia"/>
          <w:b/>
          <w:bCs/>
          <w:color w:val="000000" w:themeColor="text1"/>
          <w:sz w:val="36"/>
          <w:szCs w:val="36"/>
          <w14:textFill>
            <w14:solidFill>
              <w14:schemeClr w14:val="tx1"/>
            </w14:solidFill>
          </w14:textFill>
        </w:rPr>
        <w:t>安徽省交通建设股份有限公司</w:t>
      </w:r>
    </w:p>
    <w:p w14:paraId="29C1ED1A">
      <w:pPr>
        <w:spacing w:line="360" w:lineRule="auto"/>
        <w:ind w:firstLine="723" w:firstLineChars="200"/>
        <w:jc w:val="center"/>
        <w:rPr>
          <w:rFonts w:hint="eastAsia" w:asciiTheme="minorEastAsia" w:hAnsiTheme="minorEastAsia"/>
          <w:b/>
          <w:bCs/>
          <w:color w:val="000000" w:themeColor="text1"/>
          <w:sz w:val="36"/>
          <w:szCs w:val="36"/>
          <w14:textFill>
            <w14:solidFill>
              <w14:schemeClr w14:val="tx1"/>
            </w14:solidFill>
          </w14:textFill>
        </w:rPr>
      </w:pPr>
      <w:r>
        <w:rPr>
          <w:rFonts w:asciiTheme="minorEastAsia" w:hAnsiTheme="minorEastAsia"/>
          <w:b/>
          <w:bCs/>
          <w:color w:val="000000" w:themeColor="text1"/>
          <w:sz w:val="36"/>
          <w:szCs w:val="36"/>
          <w14:textFill>
            <w14:solidFill>
              <w14:schemeClr w14:val="tx1"/>
            </w14:solidFill>
          </w14:textFill>
        </w:rPr>
        <w:t>202</w:t>
      </w:r>
      <w:r>
        <w:rPr>
          <w:rFonts w:hint="eastAsia" w:asciiTheme="minorEastAsia" w:hAnsiTheme="minorEastAsia"/>
          <w:b/>
          <w:bCs/>
          <w:color w:val="000000" w:themeColor="text1"/>
          <w:sz w:val="36"/>
          <w:szCs w:val="36"/>
          <w14:textFill>
            <w14:solidFill>
              <w14:schemeClr w14:val="tx1"/>
            </w14:solidFill>
          </w14:textFill>
        </w:rPr>
        <w:t>5</w:t>
      </w:r>
      <w:r>
        <w:rPr>
          <w:rFonts w:asciiTheme="minorEastAsia" w:hAnsiTheme="minorEastAsia"/>
          <w:b/>
          <w:bCs/>
          <w:color w:val="000000" w:themeColor="text1"/>
          <w:sz w:val="36"/>
          <w:szCs w:val="36"/>
          <w14:textFill>
            <w14:solidFill>
              <w14:schemeClr w14:val="tx1"/>
            </w14:solidFill>
          </w14:textFill>
        </w:rPr>
        <w:t>年度独立董事述职报告</w:t>
      </w:r>
    </w:p>
    <w:p w14:paraId="0CAAE5CE">
      <w:pPr>
        <w:spacing w:line="360" w:lineRule="auto"/>
        <w:ind w:firstLine="480" w:firstLineChars="200"/>
        <w:jc w:val="center"/>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赵惠芳</w:t>
      </w:r>
    </w:p>
    <w:p w14:paraId="6D0AE0E0">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p>
    <w:p w14:paraId="352215ED">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本人</w:t>
      </w:r>
      <w:r>
        <w:rPr>
          <w:rFonts w:asciiTheme="minorEastAsia" w:hAnsiTheme="minorEastAsia"/>
          <w:color w:val="000000" w:themeColor="text1"/>
          <w:sz w:val="24"/>
          <w:szCs w:val="24"/>
          <w14:textFill>
            <w14:solidFill>
              <w14:schemeClr w14:val="tx1"/>
            </w14:solidFill>
          </w14:textFill>
        </w:rPr>
        <w:t>作为</w:t>
      </w:r>
      <w:r>
        <w:rPr>
          <w:rFonts w:hint="eastAsia" w:asciiTheme="minorEastAsia" w:hAnsiTheme="minorEastAsia"/>
          <w:color w:val="000000" w:themeColor="text1"/>
          <w:sz w:val="24"/>
          <w:szCs w:val="24"/>
          <w14:textFill>
            <w14:solidFill>
              <w14:schemeClr w14:val="tx1"/>
            </w14:solidFill>
          </w14:textFill>
        </w:rPr>
        <w:t>安徽省交通建设股份有限公司</w:t>
      </w:r>
      <w:r>
        <w:rPr>
          <w:rFonts w:asciiTheme="minorEastAsia" w:hAnsiTheme="minorEastAsia"/>
          <w:color w:val="000000" w:themeColor="text1"/>
          <w:sz w:val="24"/>
          <w:szCs w:val="24"/>
          <w14:textFill>
            <w14:solidFill>
              <w14:schemeClr w14:val="tx1"/>
            </w14:solidFill>
          </w14:textFill>
        </w:rPr>
        <w:t>（以下简称“公司”</w:t>
      </w:r>
      <w:r>
        <w:rPr>
          <w:rFonts w:hint="eastAsia" w:ascii="宋体" w:hAnsi="宋体" w:cs="Arial"/>
          <w:kern w:val="0"/>
          <w:sz w:val="24"/>
          <w:szCs w:val="24"/>
        </w:rPr>
        <w:t>或“交建股份”</w:t>
      </w:r>
      <w:r>
        <w:rPr>
          <w:rFonts w:asciiTheme="minorEastAsia" w:hAnsiTheme="minorEastAsia"/>
          <w:color w:val="000000" w:themeColor="text1"/>
          <w:sz w:val="24"/>
          <w:szCs w:val="24"/>
          <w14:textFill>
            <w14:solidFill>
              <w14:schemeClr w14:val="tx1"/>
            </w14:solidFill>
          </w14:textFill>
        </w:rPr>
        <w:t>）的独立董事，</w:t>
      </w:r>
      <w:r>
        <w:rPr>
          <w:rFonts w:hint="eastAsia" w:asciiTheme="minorEastAsia" w:hAnsiTheme="minorEastAsia"/>
          <w:color w:val="000000" w:themeColor="text1"/>
          <w:sz w:val="24"/>
          <w:szCs w:val="24"/>
          <w14:textFill>
            <w14:solidFill>
              <w14:schemeClr w14:val="tx1"/>
            </w14:solidFill>
          </w14:textFill>
        </w:rPr>
        <w:t>在2025年度严格遵循《中华人民共和国公司法》《中华人民共和国证券法》《上市公司独立董事管理办法》</w:t>
      </w:r>
      <w:r>
        <w:rPr>
          <w:rFonts w:asciiTheme="minorEastAsia" w:hAnsiTheme="minorEastAsia"/>
          <w:color w:val="000000" w:themeColor="text1"/>
          <w:sz w:val="24"/>
          <w:szCs w:val="24"/>
          <w14:textFill>
            <w14:solidFill>
              <w14:schemeClr w14:val="tx1"/>
            </w14:solidFill>
          </w14:textFill>
        </w:rPr>
        <w:t>等法律法规</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以及《公司章程》《独立董事工作制度》等</w:t>
      </w:r>
      <w:r>
        <w:rPr>
          <w:rFonts w:hint="eastAsia" w:asciiTheme="minorEastAsia" w:hAnsiTheme="minorEastAsia"/>
          <w:color w:val="000000" w:themeColor="text1"/>
          <w:sz w:val="24"/>
          <w:szCs w:val="24"/>
          <w14:textFill>
            <w14:solidFill>
              <w14:schemeClr w14:val="tx1"/>
            </w14:solidFill>
          </w14:textFill>
        </w:rPr>
        <w:t>相关规定</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秉持诚实、勤勉、独立的原则履行独立董事职责。期间，本人积极出席各类相关会议，认真审议董事会各项议案，切实维护公司及全体股东的合法权益，推动公司规范运作，充分发挥了独立董事的独立监督与决策作用。</w:t>
      </w:r>
      <w:r>
        <w:rPr>
          <w:rFonts w:asciiTheme="minorEastAsia" w:hAnsiTheme="minorEastAsia"/>
          <w:color w:val="000000" w:themeColor="text1"/>
          <w:sz w:val="24"/>
          <w:szCs w:val="24"/>
          <w14:textFill>
            <w14:solidFill>
              <w14:schemeClr w14:val="tx1"/>
            </w14:solidFill>
          </w14:textFill>
        </w:rPr>
        <w:t>现将</w:t>
      </w:r>
      <w:r>
        <w:rPr>
          <w:rFonts w:hint="eastAsia" w:asciiTheme="minorEastAsia" w:hAnsiTheme="minorEastAsia"/>
          <w:color w:val="000000" w:themeColor="text1"/>
          <w:sz w:val="24"/>
          <w:szCs w:val="24"/>
          <w14:textFill>
            <w14:solidFill>
              <w14:schemeClr w14:val="tx1"/>
            </w14:solidFill>
          </w14:textFill>
        </w:rPr>
        <w:t>本人</w:t>
      </w:r>
      <w:r>
        <w:rPr>
          <w:rFonts w:asciiTheme="minorEastAsia" w:hAnsiTheme="minorEastAsia"/>
          <w:color w:val="000000" w:themeColor="text1"/>
          <w:sz w:val="24"/>
          <w:szCs w:val="24"/>
          <w14:textFill>
            <w14:solidFill>
              <w14:schemeClr w14:val="tx1"/>
            </w14:solidFill>
          </w14:textFill>
        </w:rPr>
        <w:t>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年度履行独立董事职责的</w:t>
      </w:r>
      <w:r>
        <w:rPr>
          <w:rFonts w:hint="eastAsia" w:asciiTheme="minorEastAsia" w:hAnsiTheme="minorEastAsia"/>
          <w:color w:val="000000" w:themeColor="text1"/>
          <w:sz w:val="24"/>
          <w:szCs w:val="24"/>
          <w14:textFill>
            <w14:solidFill>
              <w14:schemeClr w14:val="tx1"/>
            </w14:solidFill>
          </w14:textFill>
        </w:rPr>
        <w:t>具体情况</w:t>
      </w:r>
      <w:r>
        <w:rPr>
          <w:rFonts w:asciiTheme="minorEastAsia" w:hAnsiTheme="minorEastAsia"/>
          <w:color w:val="000000" w:themeColor="text1"/>
          <w:sz w:val="24"/>
          <w:szCs w:val="24"/>
          <w14:textFill>
            <w14:solidFill>
              <w14:schemeClr w14:val="tx1"/>
            </w14:solidFill>
          </w14:textFill>
        </w:rPr>
        <w:t>报告如下：</w:t>
      </w:r>
    </w:p>
    <w:p w14:paraId="77AFE994">
      <w:pPr>
        <w:spacing w:line="360" w:lineRule="auto"/>
        <w:ind w:firstLine="482" w:firstLineChars="200"/>
        <w:outlineLvl w:val="0"/>
        <w:rPr>
          <w:rFonts w:hint="eastAsia"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一、独立董事的基本情况</w:t>
      </w:r>
    </w:p>
    <w:p w14:paraId="32A0D3B8">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（一）个人工作履历</w:t>
      </w:r>
    </w:p>
    <w:p w14:paraId="5EE7048C">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赵惠芳，1952年2月出生，中国国籍，无境外永久居留权，中共党员，本科，教授，历任合肥工业大学管理学院副院长、院长、院党委书记，合肥工业大学财务管理研究所所长；曾兼任教育部高等学校工商管理类学科专业教学指导委员会委员、中国会计学会会计教育专业委员会委员，现兼任中国会计学会高等工科院校分会名誉会长。主编的《企业会计学》教材，由高等教育出版社出版，先后被评为普通高等学校“九五”、“十五”、“十一五”国家级规划教材，该教材曾获得安徽省社会科学优秀成果（著作）一等奖，主持和参与了多项国家级与省级科研项目，在国内外著名期刊发表多篇文章，曾获多项省、部级奖励。兼任讯飞医疗科技股份有限公司（香港联交所上市）独立董事，安徽安利材料科技股份有限公司独立董事。2023年4月至今，任交建股份独立董事。</w:t>
      </w:r>
    </w:p>
    <w:p w14:paraId="5FA64C5E">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（二）独立性情况说明</w:t>
      </w:r>
    </w:p>
    <w:p w14:paraId="09CCA65E">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作为公司的独立董事，本人未在公司担任除独立董事以外的任何职务，也未在公司主要股东公司担任任何职务，亦不存在为公司及其控股股东、实际控制人或者其各自的附属企业提供财务、法律、咨询等服务的情形，不存在妨碍本人进行独立客观判断的情形，亦不存在影响独立董事独立性的情况。</w:t>
      </w:r>
    </w:p>
    <w:p w14:paraId="0B170D10">
      <w:pPr>
        <w:spacing w:line="360" w:lineRule="auto"/>
        <w:ind w:firstLine="482" w:firstLineChars="200"/>
        <w:outlineLvl w:val="0"/>
        <w:rPr>
          <w:rFonts w:hint="eastAsia"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二、独立董事年度履职概况</w:t>
      </w:r>
    </w:p>
    <w:p w14:paraId="0E5CD909">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（一）参加董事会及股东会会议情况</w:t>
      </w:r>
    </w:p>
    <w:p w14:paraId="26E13B08">
      <w:pPr>
        <w:spacing w:line="360" w:lineRule="auto"/>
        <w:ind w:firstLine="480" w:firstLineChars="200"/>
      </w:pPr>
      <w:r>
        <w:rPr>
          <w:rFonts w:hint="eastAsia" w:asciiTheme="minorEastAsia" w:hAnsiTheme="minorEastAsia"/>
          <w:color w:val="000000" w:themeColor="text1"/>
          <w:sz w:val="24"/>
          <w:szCs w:val="24"/>
          <w14:textFill>
            <w14:solidFill>
              <w14:schemeClr w14:val="tx1"/>
            </w14:solidFill>
          </w14:textFill>
        </w:rPr>
        <w:t>2025年任职期间，公司共召开7次董事会及2次股东会。作为独立董事，本人秉持勤勉尽责原则，通过出席董事会与股东会，切实履行独立董事职责，在此基础上独立、客观、审慎地行使表决权，充分发表意见与建议，对所有议案均未提出异议并投赞成票，无反对或弃权情形。报告期内，本人不存在无故缺席会议或连续两次未亲自出席会议的情况。公司董事会及股东会的召集与召开均符合法定程序，重大经营决策及其他重大事项均履行了相应审批程序。</w:t>
      </w:r>
    </w:p>
    <w:p w14:paraId="65837A52">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asciiTheme="minorEastAsia" w:hAnsiTheme="minorEastAsia"/>
          <w:b/>
          <w:bCs/>
          <w:color w:val="000000" w:themeColor="text1"/>
          <w:sz w:val="24"/>
          <w:szCs w:val="24"/>
          <w14:textFill>
            <w14:solidFill>
              <w14:schemeClr w14:val="tx1"/>
            </w14:solidFill>
          </w14:textFill>
        </w:rPr>
        <w:t>（二）参加各专门委员会会议情况</w:t>
      </w:r>
    </w:p>
    <w:p w14:paraId="7EC22B99">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公司董事会</w:t>
      </w:r>
      <w:r>
        <w:rPr>
          <w:rFonts w:hint="eastAsia" w:asciiTheme="minorEastAsia" w:hAnsiTheme="minorEastAsia"/>
          <w:color w:val="000000" w:themeColor="text1"/>
          <w:sz w:val="24"/>
          <w:szCs w:val="24"/>
          <w14:textFill>
            <w14:solidFill>
              <w14:schemeClr w14:val="tx1"/>
            </w14:solidFill>
          </w14:textFill>
        </w:rPr>
        <w:t>下设</w:t>
      </w:r>
      <w:r>
        <w:rPr>
          <w:rFonts w:asciiTheme="minorEastAsia" w:hAnsiTheme="minorEastAsia"/>
          <w:color w:val="000000" w:themeColor="text1"/>
          <w:sz w:val="24"/>
          <w:szCs w:val="24"/>
          <w14:textFill>
            <w14:solidFill>
              <w14:schemeClr w14:val="tx1"/>
            </w14:solidFill>
          </w14:textFill>
        </w:rPr>
        <w:t>审计委员会、薪酬与考核委员会、战略委员会、提名委员会，各委员会中独立董事占多数。报告期内，公司共召开</w:t>
      </w:r>
      <w:r>
        <w:rPr>
          <w:rFonts w:hint="eastAsia" w:asciiTheme="minorEastAsia" w:hAnsiTheme="minorEastAsia"/>
          <w:color w:val="000000" w:themeColor="text1"/>
          <w:sz w:val="24"/>
          <w:szCs w:val="24"/>
          <w14:textFill>
            <w14:solidFill>
              <w14:schemeClr w14:val="tx1"/>
            </w14:solidFill>
          </w14:textFill>
        </w:rPr>
        <w:t>4</w:t>
      </w:r>
      <w:r>
        <w:rPr>
          <w:rFonts w:asciiTheme="minorEastAsia" w:hAnsiTheme="minorEastAsia"/>
          <w:color w:val="000000" w:themeColor="text1"/>
          <w:sz w:val="24"/>
          <w:szCs w:val="24"/>
          <w14:textFill>
            <w14:solidFill>
              <w14:schemeClr w14:val="tx1"/>
            </w14:solidFill>
          </w14:textFill>
        </w:rPr>
        <w:t>次审计委员会会议</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本人按时</w:t>
      </w:r>
      <w:r>
        <w:rPr>
          <w:rFonts w:hint="eastAsia" w:asciiTheme="minorEastAsia" w:hAnsiTheme="minorEastAsia"/>
          <w:color w:val="000000" w:themeColor="text1"/>
          <w:sz w:val="24"/>
          <w:szCs w:val="24"/>
          <w14:textFill>
            <w14:solidFill>
              <w14:schemeClr w14:val="tx1"/>
            </w14:solidFill>
          </w14:textFill>
        </w:rPr>
        <w:t>出席</w:t>
      </w:r>
      <w:r>
        <w:rPr>
          <w:rFonts w:asciiTheme="minorEastAsia" w:hAnsiTheme="minorEastAsia"/>
          <w:color w:val="000000" w:themeColor="text1"/>
          <w:sz w:val="24"/>
          <w:szCs w:val="24"/>
          <w14:textFill>
            <w14:solidFill>
              <w14:schemeClr w14:val="tx1"/>
            </w14:solidFill>
          </w14:textFill>
        </w:rPr>
        <w:t>董事会专门委员会会议，认真审议各项议案，</w:t>
      </w:r>
      <w:r>
        <w:rPr>
          <w:rFonts w:hint="eastAsia" w:asciiTheme="minorEastAsia" w:hAnsiTheme="minorEastAsia"/>
          <w:color w:val="000000" w:themeColor="text1"/>
          <w:sz w:val="24"/>
          <w:szCs w:val="24"/>
          <w14:textFill>
            <w14:solidFill>
              <w14:schemeClr w14:val="tx1"/>
            </w14:solidFill>
          </w14:textFill>
        </w:rPr>
        <w:t>凭借自身</w:t>
      </w:r>
      <w:r>
        <w:rPr>
          <w:rFonts w:asciiTheme="minorEastAsia" w:hAnsiTheme="minorEastAsia"/>
          <w:color w:val="000000" w:themeColor="text1"/>
          <w:sz w:val="24"/>
          <w:szCs w:val="24"/>
          <w14:textFill>
            <w14:solidFill>
              <w14:schemeClr w14:val="tx1"/>
            </w14:solidFill>
          </w14:textFill>
        </w:rPr>
        <w:t>专业知识，独立、客观、公正地发表意见，并以严谨态度独立行使表决权，切实维护了公司整体利益</w:t>
      </w:r>
      <w:r>
        <w:rPr>
          <w:rFonts w:hint="eastAsia" w:asciiTheme="minorEastAsia" w:hAnsiTheme="minorEastAsia"/>
          <w:color w:val="000000" w:themeColor="text1"/>
          <w:sz w:val="24"/>
          <w:szCs w:val="24"/>
          <w14:textFill>
            <w14:solidFill>
              <w14:schemeClr w14:val="tx1"/>
            </w14:solidFill>
          </w14:textFill>
        </w:rPr>
        <w:t>及</w:t>
      </w:r>
      <w:r>
        <w:rPr>
          <w:rFonts w:asciiTheme="minorEastAsia" w:hAnsiTheme="minorEastAsia"/>
          <w:color w:val="000000" w:themeColor="text1"/>
          <w:sz w:val="24"/>
          <w:szCs w:val="24"/>
          <w14:textFill>
            <w14:solidFill>
              <w14:schemeClr w14:val="tx1"/>
            </w14:solidFill>
          </w14:textFill>
        </w:rPr>
        <w:t>全体股东尤其是中小股东的合法权益。</w:t>
      </w:r>
    </w:p>
    <w:p w14:paraId="17ADF9D1">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asciiTheme="minorEastAsia" w:hAnsiTheme="minorEastAsia"/>
          <w:b/>
          <w:bCs/>
          <w:color w:val="000000" w:themeColor="text1"/>
          <w:sz w:val="24"/>
          <w:szCs w:val="24"/>
          <w14:textFill>
            <w14:solidFill>
              <w14:schemeClr w14:val="tx1"/>
            </w14:solidFill>
          </w14:textFill>
        </w:rPr>
        <w:t>（三）</w:t>
      </w:r>
      <w:r>
        <w:rPr>
          <w:rFonts w:hint="eastAsia" w:asciiTheme="minorEastAsia" w:hAnsiTheme="minorEastAsia"/>
          <w:b/>
          <w:bCs/>
          <w:color w:val="000000" w:themeColor="text1"/>
          <w:sz w:val="24"/>
          <w:szCs w:val="24"/>
          <w14:textFill>
            <w14:solidFill>
              <w14:schemeClr w14:val="tx1"/>
            </w14:solidFill>
          </w14:textFill>
        </w:rPr>
        <w:t>出席独立董事专门会议</w:t>
      </w:r>
      <w:r>
        <w:rPr>
          <w:rFonts w:asciiTheme="minorEastAsia" w:hAnsiTheme="minorEastAsia"/>
          <w:b/>
          <w:bCs/>
          <w:color w:val="000000" w:themeColor="text1"/>
          <w:sz w:val="24"/>
          <w:szCs w:val="24"/>
          <w14:textFill>
            <w14:solidFill>
              <w14:schemeClr w14:val="tx1"/>
            </w14:solidFill>
          </w14:textFill>
        </w:rPr>
        <w:t>情况</w:t>
      </w:r>
    </w:p>
    <w:p w14:paraId="28B88B08">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年度，公司召开独立董事专门会议</w:t>
      </w:r>
      <w:r>
        <w:rPr>
          <w:rFonts w:hint="eastAsia" w:asciiTheme="minorEastAsia" w:hAnsiTheme="minorEastAsia"/>
          <w:color w:val="000000" w:themeColor="text1"/>
          <w:sz w:val="24"/>
          <w:szCs w:val="24"/>
          <w14:textFill>
            <w14:solidFill>
              <w14:schemeClr w14:val="tx1"/>
            </w14:solidFill>
          </w14:textFill>
        </w:rPr>
        <w:t>1</w:t>
      </w:r>
      <w:r>
        <w:rPr>
          <w:rFonts w:asciiTheme="minorEastAsia" w:hAnsiTheme="minorEastAsia"/>
          <w:color w:val="000000" w:themeColor="text1"/>
          <w:sz w:val="24"/>
          <w:szCs w:val="24"/>
          <w14:textFill>
            <w14:solidFill>
              <w14:schemeClr w14:val="tx1"/>
            </w14:solidFill>
          </w14:textFill>
        </w:rPr>
        <w:t>次，本人亲自出席。本人持续关注公司经营</w:t>
      </w:r>
      <w:r>
        <w:rPr>
          <w:rFonts w:hint="eastAsia" w:asciiTheme="minorEastAsia" w:hAnsiTheme="minorEastAsia"/>
          <w:color w:val="000000" w:themeColor="text1"/>
          <w:sz w:val="24"/>
          <w:szCs w:val="24"/>
          <w14:textFill>
            <w14:solidFill>
              <w14:schemeClr w14:val="tx1"/>
            </w14:solidFill>
          </w14:textFill>
        </w:rPr>
        <w:t>管理状况</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color w:val="000000" w:themeColor="text1"/>
          <w:sz w:val="24"/>
          <w:szCs w:val="24"/>
          <w14:textFill>
            <w14:solidFill>
              <w14:schemeClr w14:val="tx1"/>
            </w14:solidFill>
          </w14:textFill>
        </w:rPr>
        <w:t>严格依照</w:t>
      </w:r>
      <w:r>
        <w:rPr>
          <w:rFonts w:asciiTheme="minorEastAsia" w:hAnsiTheme="minorEastAsia"/>
          <w:color w:val="000000" w:themeColor="text1"/>
          <w:sz w:val="24"/>
          <w:szCs w:val="24"/>
          <w14:textFill>
            <w14:solidFill>
              <w14:schemeClr w14:val="tx1"/>
            </w14:solidFill>
          </w14:textFill>
        </w:rPr>
        <w:t>《上市公司独立董事管理办法》的规定，</w:t>
      </w:r>
      <w:r>
        <w:rPr>
          <w:rFonts w:hint="eastAsia" w:asciiTheme="minorEastAsia" w:hAnsiTheme="minorEastAsia"/>
          <w:color w:val="000000" w:themeColor="text1"/>
          <w:sz w:val="24"/>
          <w:szCs w:val="24"/>
          <w14:textFill>
            <w14:solidFill>
              <w14:schemeClr w14:val="tx1"/>
            </w14:solidFill>
          </w14:textFill>
        </w:rPr>
        <w:t>对《关于2024年日常关联交易执行情况及2025年日常关联交易预计的议案》进行审议</w:t>
      </w:r>
      <w:r>
        <w:rPr>
          <w:rFonts w:asciiTheme="minorEastAsia" w:hAnsiTheme="minorEastAsia"/>
          <w:color w:val="000000" w:themeColor="text1"/>
          <w:sz w:val="24"/>
          <w:szCs w:val="24"/>
          <w14:textFill>
            <w14:solidFill>
              <w14:schemeClr w14:val="tx1"/>
            </w14:solidFill>
          </w14:textFill>
        </w:rPr>
        <w:t>，本人对</w:t>
      </w:r>
      <w:r>
        <w:rPr>
          <w:rFonts w:hint="eastAsia" w:asciiTheme="minorEastAsia" w:hAnsiTheme="minorEastAsia"/>
          <w:color w:val="000000" w:themeColor="text1"/>
          <w:sz w:val="24"/>
          <w:szCs w:val="24"/>
          <w14:textFill>
            <w14:solidFill>
              <w14:schemeClr w14:val="tx1"/>
            </w14:solidFill>
          </w14:textFill>
        </w:rPr>
        <w:t>该</w:t>
      </w:r>
      <w:r>
        <w:rPr>
          <w:rFonts w:asciiTheme="minorEastAsia" w:hAnsiTheme="minorEastAsia"/>
          <w:color w:val="000000" w:themeColor="text1"/>
          <w:sz w:val="24"/>
          <w:szCs w:val="24"/>
          <w14:textFill>
            <w14:solidFill>
              <w14:schemeClr w14:val="tx1"/>
            </w14:solidFill>
          </w14:textFill>
        </w:rPr>
        <w:t>议案表示同意，未提出异议、反对或弃权。</w:t>
      </w:r>
    </w:p>
    <w:p w14:paraId="7B7D3F5F">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asciiTheme="minorEastAsia" w:hAnsiTheme="minorEastAsia"/>
          <w:b/>
          <w:bCs/>
          <w:color w:val="000000" w:themeColor="text1"/>
          <w:sz w:val="24"/>
          <w:szCs w:val="24"/>
          <w14:textFill>
            <w14:solidFill>
              <w14:schemeClr w14:val="tx1"/>
            </w14:solidFill>
          </w14:textFill>
        </w:rPr>
        <w:t>（</w:t>
      </w:r>
      <w:r>
        <w:rPr>
          <w:rFonts w:hint="eastAsia" w:asciiTheme="minorEastAsia" w:hAnsiTheme="minorEastAsia"/>
          <w:b/>
          <w:bCs/>
          <w:color w:val="000000" w:themeColor="text1"/>
          <w:sz w:val="24"/>
          <w:szCs w:val="24"/>
          <w14:textFill>
            <w14:solidFill>
              <w14:schemeClr w14:val="tx1"/>
            </w14:solidFill>
          </w14:textFill>
        </w:rPr>
        <w:t>四</w:t>
      </w:r>
      <w:r>
        <w:rPr>
          <w:rFonts w:asciiTheme="minorEastAsia" w:hAnsiTheme="minorEastAsia"/>
          <w:b/>
          <w:bCs/>
          <w:color w:val="000000" w:themeColor="text1"/>
          <w:sz w:val="24"/>
          <w:szCs w:val="24"/>
          <w14:textFill>
            <w14:solidFill>
              <w14:schemeClr w14:val="tx1"/>
            </w14:solidFill>
          </w14:textFill>
        </w:rPr>
        <w:t>）与会计师事务所沟通情况</w:t>
      </w:r>
    </w:p>
    <w:p w14:paraId="0EF50EA2">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报告期内，本人积极参与年度报告专项沟通会议</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积极与</w:t>
      </w:r>
      <w:r>
        <w:rPr>
          <w:rFonts w:hint="eastAsia" w:asciiTheme="minorEastAsia" w:hAnsiTheme="minorEastAsia"/>
          <w:color w:val="000000" w:themeColor="text1"/>
          <w:sz w:val="24"/>
          <w:szCs w:val="24"/>
          <w14:textFill>
            <w14:solidFill>
              <w14:schemeClr w14:val="tx1"/>
            </w14:solidFill>
          </w14:textFill>
        </w:rPr>
        <w:t>负责审计的</w:t>
      </w:r>
      <w:r>
        <w:rPr>
          <w:rFonts w:asciiTheme="minorEastAsia" w:hAnsiTheme="minorEastAsia"/>
          <w:color w:val="000000" w:themeColor="text1"/>
          <w:sz w:val="24"/>
          <w:szCs w:val="24"/>
          <w14:textFill>
            <w14:solidFill>
              <w14:schemeClr w14:val="tx1"/>
            </w14:solidFill>
          </w14:textFill>
        </w:rPr>
        <w:t>会计师事务所及公司管理层开展交流与探讨，履行独立董事在财务报告审计过程中的监督职责，确保年报信息披露的准确性与完整性。</w:t>
      </w:r>
    </w:p>
    <w:p w14:paraId="6A3F1EB6">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asciiTheme="minorEastAsia" w:hAnsiTheme="minorEastAsia"/>
          <w:b/>
          <w:bCs/>
          <w:color w:val="000000" w:themeColor="text1"/>
          <w:sz w:val="24"/>
          <w:szCs w:val="24"/>
          <w14:textFill>
            <w14:solidFill>
              <w14:schemeClr w14:val="tx1"/>
            </w14:solidFill>
          </w14:textFill>
        </w:rPr>
        <w:t>（</w:t>
      </w:r>
      <w:r>
        <w:rPr>
          <w:rFonts w:hint="eastAsia" w:asciiTheme="minorEastAsia" w:hAnsiTheme="minorEastAsia"/>
          <w:b/>
          <w:bCs/>
          <w:color w:val="000000" w:themeColor="text1"/>
          <w:sz w:val="24"/>
          <w:szCs w:val="24"/>
          <w14:textFill>
            <w14:solidFill>
              <w14:schemeClr w14:val="tx1"/>
            </w14:solidFill>
          </w14:textFill>
        </w:rPr>
        <w:t>五</w:t>
      </w:r>
      <w:r>
        <w:rPr>
          <w:rFonts w:asciiTheme="minorEastAsia" w:hAnsiTheme="minorEastAsia"/>
          <w:b/>
          <w:bCs/>
          <w:color w:val="000000" w:themeColor="text1"/>
          <w:sz w:val="24"/>
          <w:szCs w:val="24"/>
          <w14:textFill>
            <w14:solidFill>
              <w14:schemeClr w14:val="tx1"/>
            </w14:solidFill>
          </w14:textFill>
        </w:rPr>
        <w:t>）现场工作情况</w:t>
      </w:r>
    </w:p>
    <w:p w14:paraId="0A2E81B3">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年，本人与公司管理层及相关工作人员保持联系，及时掌握公司生产经营状况和重大事项执行进展，通过参加公司董事会、股东会及其他公司会议的方式对公司</w:t>
      </w:r>
      <w:r>
        <w:rPr>
          <w:rFonts w:hint="eastAsia" w:asciiTheme="minorEastAsia" w:hAnsiTheme="minorEastAsia"/>
          <w:color w:val="000000" w:themeColor="text1"/>
          <w:sz w:val="24"/>
          <w:szCs w:val="24"/>
          <w14:textFill>
            <w14:solidFill>
              <w14:schemeClr w14:val="tx1"/>
            </w14:solidFill>
          </w14:textFill>
        </w:rPr>
        <w:t>及公司项目地</w:t>
      </w:r>
      <w:r>
        <w:rPr>
          <w:rFonts w:asciiTheme="minorEastAsia" w:hAnsiTheme="minorEastAsia"/>
          <w:color w:val="000000" w:themeColor="text1"/>
          <w:sz w:val="24"/>
          <w:szCs w:val="24"/>
          <w14:textFill>
            <w14:solidFill>
              <w14:schemeClr w14:val="tx1"/>
            </w14:solidFill>
          </w14:textFill>
        </w:rPr>
        <w:t>进行实地考察，了解公司的内外部环境、财务管理和内部控制执行情况，有效履行了独立董事的职责。</w:t>
      </w:r>
    </w:p>
    <w:p w14:paraId="57E1CDD5">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（六）上市公司配合独立董事工作的情况</w:t>
      </w:r>
    </w:p>
    <w:p w14:paraId="3251BB11">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公司管理层高度重视与本人的沟通交流，勤勉尽责地向董事会及独立董事汇报公司生产经营情况和重大事项进展情况，及时反馈提出的问题，为本人履职提供了完备的条件和支持。在每次董事会及</w:t>
      </w:r>
      <w:r>
        <w:rPr>
          <w:rFonts w:hint="eastAsia" w:asciiTheme="minorEastAsia" w:hAnsiTheme="minorEastAsia"/>
          <w:color w:val="000000" w:themeColor="text1"/>
          <w:sz w:val="24"/>
          <w:szCs w:val="24"/>
          <w14:textFill>
            <w14:solidFill>
              <w14:schemeClr w14:val="tx1"/>
            </w14:solidFill>
          </w14:textFill>
        </w:rPr>
        <w:t>股东会</w:t>
      </w:r>
      <w:r>
        <w:rPr>
          <w:rFonts w:asciiTheme="minorEastAsia" w:hAnsiTheme="minorEastAsia"/>
          <w:color w:val="000000" w:themeColor="text1"/>
          <w:sz w:val="24"/>
          <w:szCs w:val="24"/>
          <w14:textFill>
            <w14:solidFill>
              <w14:schemeClr w14:val="tx1"/>
            </w14:solidFill>
          </w14:textFill>
        </w:rPr>
        <w:t>召开前，公司及时报送会议资料给本人审阅，积极配合本人作为独立董事的工作。</w:t>
      </w:r>
    </w:p>
    <w:p w14:paraId="4A83F61F">
      <w:pPr>
        <w:spacing w:line="360" w:lineRule="auto"/>
        <w:ind w:firstLine="482" w:firstLineChars="200"/>
        <w:outlineLvl w:val="0"/>
        <w:rPr>
          <w:rFonts w:hint="eastAsia" w:asciiTheme="minorEastAsia" w:hAnsiTheme="minorEastAsia"/>
          <w:b/>
          <w:color w:val="000000" w:themeColor="text1"/>
          <w:sz w:val="24"/>
          <w:szCs w:val="24"/>
          <w14:textFill>
            <w14:solidFill>
              <w14:schemeClr w14:val="tx1"/>
            </w14:solidFill>
          </w14:textFill>
        </w:rPr>
      </w:pPr>
      <w:r>
        <w:rPr>
          <w:rFonts w:asciiTheme="minorEastAsia" w:hAnsiTheme="minorEastAsia"/>
          <w:b/>
          <w:color w:val="000000" w:themeColor="text1"/>
          <w:sz w:val="24"/>
          <w:szCs w:val="24"/>
          <w14:textFill>
            <w14:solidFill>
              <w14:schemeClr w14:val="tx1"/>
            </w14:solidFill>
          </w14:textFill>
        </w:rPr>
        <w:t>三、独立董事年度履职重点关注事项的情况</w:t>
      </w:r>
    </w:p>
    <w:p w14:paraId="4385F0CF">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asciiTheme="minorEastAsia" w:hAnsiTheme="minorEastAsia"/>
          <w:b/>
          <w:bCs/>
          <w:color w:val="000000" w:themeColor="text1"/>
          <w:sz w:val="24"/>
          <w:szCs w:val="24"/>
          <w14:textFill>
            <w14:solidFill>
              <w14:schemeClr w14:val="tx1"/>
            </w14:solidFill>
          </w14:textFill>
        </w:rPr>
        <w:t>（一）关联交易情况</w:t>
      </w:r>
    </w:p>
    <w:p w14:paraId="162E3BA8">
      <w:pPr>
        <w:spacing w:line="360" w:lineRule="auto"/>
        <w:ind w:firstLine="480" w:firstLineChars="200"/>
      </w:pPr>
      <w:r>
        <w:rPr>
          <w:rFonts w:hint="eastAsia" w:asciiTheme="minorEastAsia" w:hAnsiTheme="minorEastAsia"/>
          <w:color w:val="000000" w:themeColor="text1"/>
          <w:sz w:val="24"/>
          <w:szCs w:val="24"/>
          <w14:textFill>
            <w14:solidFill>
              <w14:schemeClr w14:val="tx1"/>
            </w14:solidFill>
          </w14:textFill>
        </w:rPr>
        <w:t>本人任职期间，严格遵循《上海证券交易所股票上市规则》《上海证券交易所上市公司自律监管指引第5号——交易与关联交易》等相关法律法规及《公司章程》的规定履行职责，就关联交易的必要性、定价公允性、审批程序合规性以及是否损害公司及股东利益等方面开展监督工作。本人认为，公司2025年度发生的关联交易均已通过上交所网站及其他媒体完成披露；相关会议的召集、召开及表决程序符合《公司法》等法律法规、规范性文件及《公司章程》的规定，关联董事依法回避表决，表决结果合法有效；经核查，未发现公司及中小股东利益受损的情形，此类交易亦未对公司独立性构成影响，公司主营业务也未因该等交易对关联方形成依赖或被其控制。</w:t>
      </w:r>
    </w:p>
    <w:p w14:paraId="145B4270">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（二）定期报告、内部控制评价报告披露情况</w:t>
      </w:r>
    </w:p>
    <w:p w14:paraId="0C10890C">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报告期内，公司严格依照《公司法》《证券法》《上市公司信息披露管理办法》《上海证券交易所股票上市规则》等法律、法规和规范性文件的要求，按时编制并披露了《2024年年度报告》《2025年第一季度报告》《2025年半年度报告》《2025年第三季度报告》《2024年度内部控制评价报告》，准确披露了相应报告期内的财务数据和重要事项，</w:t>
      </w:r>
      <w:r>
        <w:rPr>
          <w:rFonts w:asciiTheme="minorEastAsia" w:hAnsiTheme="minorEastAsia"/>
          <w:color w:val="000000" w:themeColor="text1"/>
          <w:sz w:val="24"/>
          <w:szCs w:val="24"/>
          <w14:textFill>
            <w14:solidFill>
              <w14:schemeClr w14:val="tx1"/>
            </w14:solidFill>
          </w14:textFill>
        </w:rPr>
        <w:t>让投资者充分了解公司经营情况。</w:t>
      </w:r>
      <w:r>
        <w:rPr>
          <w:rFonts w:hint="eastAsia" w:asciiTheme="minorEastAsia" w:hAnsiTheme="minorEastAsia"/>
          <w:color w:val="000000" w:themeColor="text1"/>
          <w:sz w:val="24"/>
          <w:szCs w:val="24"/>
          <w14:textFill>
            <w14:solidFill>
              <w14:schemeClr w14:val="tx1"/>
            </w14:solidFill>
          </w14:textFill>
        </w:rPr>
        <w:t>上述报告均经公司董事会审议通过，其中《2024年年度报告》经公司2024年年度股东会审议通过，公司董事和高级管理人员均对公司定期报告签署了书面确认意见。</w:t>
      </w:r>
      <w:r>
        <w:rPr>
          <w:rFonts w:asciiTheme="minorEastAsia" w:hAnsiTheme="minorEastAsia"/>
          <w:color w:val="000000" w:themeColor="text1"/>
          <w:sz w:val="24"/>
          <w:szCs w:val="24"/>
          <w14:textFill>
            <w14:solidFill>
              <w14:schemeClr w14:val="tx1"/>
            </w14:solidFill>
          </w14:textFill>
        </w:rPr>
        <w:t>公司对定期报告的审议及披露程序合法合规，财务数据准确详实，真实地反映了公司的实际情况。</w:t>
      </w:r>
    </w:p>
    <w:p w14:paraId="71665A56">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（三）聘任或者更换会计师事务所情况</w:t>
      </w:r>
    </w:p>
    <w:p w14:paraId="7EA4924B">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为保持公司审计工作的连续性和稳定性，</w:t>
      </w:r>
      <w:r>
        <w:rPr>
          <w:rFonts w:hint="eastAsia" w:asciiTheme="minorEastAsia" w:hAnsiTheme="minorEastAsia"/>
          <w:color w:val="000000" w:themeColor="text1"/>
          <w:sz w:val="24"/>
          <w:szCs w:val="24"/>
          <w14:textFill>
            <w14:solidFill>
              <w14:schemeClr w14:val="tx1"/>
            </w14:solidFill>
          </w14:textFill>
        </w:rPr>
        <w:t>报告期内，公司未更换会计师事务所，续聘容诚会计师事务所（特殊普通合伙）为公司2025年度财务报告和内部控制的审计机构。容诚会计师事务所（特殊普通合伙）在执行业务的过程中，严格遵循独立、客观、公正的职业准则，</w:t>
      </w:r>
      <w:r>
        <w:rPr>
          <w:rFonts w:asciiTheme="minorEastAsia" w:hAnsiTheme="minorEastAsia"/>
          <w:color w:val="000000" w:themeColor="text1"/>
          <w:sz w:val="24"/>
          <w:szCs w:val="24"/>
          <w14:textFill>
            <w14:solidFill>
              <w14:schemeClr w14:val="tx1"/>
            </w14:solidFill>
          </w14:textFill>
        </w:rPr>
        <w:t>工作认真、严谨，具有较高的综合素质，坚持独立审计准则，保证了公司审计工作的顺利开展，较好地履行了聘任合同所规定的责任和义务。</w:t>
      </w:r>
    </w:p>
    <w:p w14:paraId="0A8D4D99">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（四）对外担保及资金占用情况</w:t>
      </w:r>
    </w:p>
    <w:p w14:paraId="69E68DEB">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本人根据《上市公司监管指引第8号——上市公司资金往来、对外担保的监管要求》等有关规定，本着实事求是、认真负责的态度，对公司2025年对外担保的情况进行了核查和落实，并发表独立意见：经本人充分了解和查验，公司严格遵守《公司章程》和相关法律法规的有关规定，规范公司的对外担保行为，严格履行审核程序，对担保事项及时进行披露，并能严格控制对外担保风险。</w:t>
      </w:r>
      <w:r>
        <w:rPr>
          <w:rFonts w:asciiTheme="minorEastAsia" w:hAnsiTheme="minorEastAsia"/>
          <w:color w:val="000000" w:themeColor="text1"/>
          <w:sz w:val="24"/>
          <w:szCs w:val="24"/>
          <w14:textFill>
            <w14:solidFill>
              <w14:schemeClr w14:val="tx1"/>
            </w14:solidFill>
          </w14:textFill>
        </w:rPr>
        <w:t>截至报告期末，公司无逾期担保、无违规担保，不存在为股东、实际控制人及其关联方提供担保的情况。</w:t>
      </w:r>
    </w:p>
    <w:p w14:paraId="4CDF5812">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报告期内，公司严格遵守了《公司章程》及有关法律法规的规定，不存在资金被控股股东及其他关联方非经营性占用情况。</w:t>
      </w:r>
    </w:p>
    <w:p w14:paraId="2F42935D">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（五）现金分红及其他投资者回报情况</w:t>
      </w:r>
    </w:p>
    <w:p w14:paraId="281C350C">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经公司第三届董事会第二十次会议及2024年年度股东会审议通过，公司以总股本扣除回购专用证券账户内股份后的612,377,535股为基数，向全体股东每10股派发现金股利人民币0.65元（含税），派发现金股利总额为39,804,539.78元。</w:t>
      </w:r>
      <w:r>
        <w:rPr>
          <w:rFonts w:asciiTheme="minorEastAsia" w:hAnsiTheme="minorEastAsia"/>
          <w:color w:val="000000" w:themeColor="text1"/>
          <w:sz w:val="24"/>
          <w:szCs w:val="24"/>
          <w14:textFill>
            <w14:solidFill>
              <w14:schemeClr w14:val="tx1"/>
            </w14:solidFill>
          </w14:textFill>
        </w:rPr>
        <w:t>本次利润分配方案</w:t>
      </w:r>
      <w:r>
        <w:rPr>
          <w:rFonts w:hint="eastAsia" w:asciiTheme="minorEastAsia" w:hAnsiTheme="minorEastAsia"/>
          <w:color w:val="000000" w:themeColor="text1"/>
          <w:sz w:val="24"/>
          <w:szCs w:val="24"/>
          <w14:textFill>
            <w14:solidFill>
              <w14:schemeClr w14:val="tx1"/>
            </w14:solidFill>
          </w14:textFill>
        </w:rPr>
        <w:t>符合《公司章程》及相关法律法规的规定</w:t>
      </w:r>
      <w:r>
        <w:rPr>
          <w:rFonts w:asciiTheme="minorEastAsia" w:hAnsiTheme="minorEastAsia"/>
          <w:color w:val="000000" w:themeColor="text1"/>
          <w:sz w:val="24"/>
          <w:szCs w:val="24"/>
          <w14:textFill>
            <w14:solidFill>
              <w14:schemeClr w14:val="tx1"/>
            </w14:solidFill>
          </w14:textFill>
        </w:rPr>
        <w:t>，是公司</w:t>
      </w:r>
      <w:r>
        <w:rPr>
          <w:rFonts w:hint="eastAsia" w:asciiTheme="minorEastAsia" w:hAnsiTheme="minorEastAsia"/>
          <w:color w:val="000000" w:themeColor="text1"/>
          <w:sz w:val="24"/>
          <w:szCs w:val="24"/>
          <w14:textFill>
            <w14:solidFill>
              <w14:schemeClr w14:val="tx1"/>
            </w14:solidFill>
          </w14:textFill>
        </w:rPr>
        <w:t>结合自身</w:t>
      </w:r>
      <w:r>
        <w:rPr>
          <w:rFonts w:asciiTheme="minorEastAsia" w:hAnsiTheme="minorEastAsia"/>
          <w:color w:val="000000" w:themeColor="text1"/>
          <w:sz w:val="24"/>
          <w:szCs w:val="24"/>
          <w14:textFill>
            <w14:solidFill>
              <w14:schemeClr w14:val="tx1"/>
            </w14:solidFill>
          </w14:textFill>
        </w:rPr>
        <w:t>发展阶段、盈利水平</w:t>
      </w:r>
      <w:r>
        <w:rPr>
          <w:rFonts w:hint="eastAsia" w:asciiTheme="minorEastAsia" w:hAnsiTheme="minorEastAsia"/>
          <w:color w:val="000000" w:themeColor="text1"/>
          <w:sz w:val="24"/>
          <w:szCs w:val="24"/>
          <w14:textFill>
            <w14:solidFill>
              <w14:schemeClr w14:val="tx1"/>
            </w14:solidFill>
          </w14:textFill>
        </w:rPr>
        <w:t>与</w:t>
      </w:r>
      <w:r>
        <w:rPr>
          <w:rFonts w:asciiTheme="minorEastAsia" w:hAnsiTheme="minorEastAsia"/>
          <w:color w:val="000000" w:themeColor="text1"/>
          <w:sz w:val="24"/>
          <w:szCs w:val="24"/>
          <w14:textFill>
            <w14:solidFill>
              <w14:schemeClr w14:val="tx1"/>
            </w14:solidFill>
          </w14:textFill>
        </w:rPr>
        <w:t>资金状况，为兼顾股东利益</w:t>
      </w:r>
      <w:r>
        <w:rPr>
          <w:rFonts w:hint="eastAsia" w:asciiTheme="minorEastAsia" w:hAnsiTheme="minorEastAsia"/>
          <w:color w:val="000000" w:themeColor="text1"/>
          <w:sz w:val="24"/>
          <w:szCs w:val="24"/>
          <w14:textFill>
            <w14:solidFill>
              <w14:schemeClr w14:val="tx1"/>
            </w14:solidFill>
          </w14:textFill>
        </w:rPr>
        <w:t>与</w:t>
      </w:r>
      <w:r>
        <w:rPr>
          <w:rFonts w:asciiTheme="minorEastAsia" w:hAnsiTheme="minorEastAsia"/>
          <w:color w:val="000000" w:themeColor="text1"/>
          <w:sz w:val="24"/>
          <w:szCs w:val="24"/>
          <w14:textFill>
            <w14:solidFill>
              <w14:schemeClr w14:val="tx1"/>
            </w14:solidFill>
          </w14:textFill>
        </w:rPr>
        <w:t>公司发展需要而</w:t>
      </w:r>
      <w:r>
        <w:rPr>
          <w:rFonts w:hint="eastAsia" w:asciiTheme="minorEastAsia" w:hAnsiTheme="minorEastAsia"/>
          <w:color w:val="000000" w:themeColor="text1"/>
          <w:sz w:val="24"/>
          <w:szCs w:val="24"/>
          <w14:textFill>
            <w14:solidFill>
              <w14:schemeClr w14:val="tx1"/>
            </w14:solidFill>
          </w14:textFill>
        </w:rPr>
        <w:t>制定</w:t>
      </w:r>
      <w:r>
        <w:rPr>
          <w:rFonts w:asciiTheme="minorEastAsia" w:hAnsiTheme="minorEastAsia"/>
          <w:color w:val="000000" w:themeColor="text1"/>
          <w:sz w:val="24"/>
          <w:szCs w:val="24"/>
          <w14:textFill>
            <w14:solidFill>
              <w14:schemeClr w14:val="tx1"/>
            </w14:solidFill>
          </w14:textFill>
        </w:rPr>
        <w:t>的方案。</w:t>
      </w:r>
    </w:p>
    <w:p w14:paraId="5D2BD42A">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（六）内部控制的执行情况</w:t>
      </w:r>
    </w:p>
    <w:p w14:paraId="687AB9E2">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本人对公司内控制度进行了认真核查，并审阅了公司《202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年度内部控制评价报告》及</w:t>
      </w:r>
      <w:r>
        <w:rPr>
          <w:rFonts w:hint="eastAsia" w:asciiTheme="minorEastAsia" w:hAnsiTheme="minorEastAsia"/>
          <w:color w:val="000000" w:themeColor="text1"/>
          <w:sz w:val="24"/>
          <w:szCs w:val="24"/>
          <w14:textFill>
            <w14:solidFill>
              <w14:schemeClr w14:val="tx1"/>
            </w14:solidFill>
          </w14:textFill>
        </w:rPr>
        <w:t>容诚</w:t>
      </w:r>
      <w:r>
        <w:rPr>
          <w:rFonts w:asciiTheme="minorEastAsia" w:hAnsiTheme="minorEastAsia"/>
          <w:color w:val="000000" w:themeColor="text1"/>
          <w:sz w:val="24"/>
          <w:szCs w:val="24"/>
          <w14:textFill>
            <w14:solidFill>
              <w14:schemeClr w14:val="tx1"/>
            </w14:solidFill>
          </w14:textFill>
        </w:rPr>
        <w:t>会计师事务所（特殊普通合伙）出具的公司202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度《内部控制审计报告》。本人认为：公司内部控制评价报告及内部控制审计报告客观、真实地反映了公司内部控制制度的建设及运行情况，公司已基本建立了较为完善的内部控制制度体系，并能得到有效地执行，公司通过内部控制有效地防范了各种风险。</w:t>
      </w:r>
    </w:p>
    <w:p w14:paraId="7B2DAAAF">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（七）募集资金的使用情况</w:t>
      </w:r>
    </w:p>
    <w:p w14:paraId="21FA042C">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公司第三届董事会第二十次会议审议通过了《关于公司2024年度募集资金存放与实际使用情况专项报告的议案》。本人作为公司独立董事，认为公司董事会出具的上述报告真实、准确、完整的反映公司募集资金存放、使用、管理情况，募集资金使用符合相关规定程序，不存在变相改变募集资金用途的情形，不存在违规存放与使用募集资金的情形。</w:t>
      </w:r>
    </w:p>
    <w:p w14:paraId="0F7EC48F">
      <w:pPr>
        <w:spacing w:line="360" w:lineRule="auto"/>
        <w:ind w:firstLine="482" w:firstLineChars="200"/>
        <w:outlineLvl w:val="1"/>
        <w:rPr>
          <w:rFonts w:hint="eastAsia" w:asciiTheme="minorEastAsia" w:hAnsiTheme="minorEastAsia"/>
          <w:b/>
          <w:bCs/>
          <w:color w:val="000000" w:themeColor="text1"/>
          <w:sz w:val="24"/>
          <w:szCs w:val="24"/>
          <w14:textFill>
            <w14:solidFill>
              <w14:schemeClr w14:val="tx1"/>
            </w14:solidFill>
          </w14:textFill>
        </w:rPr>
      </w:pPr>
      <w:r>
        <w:rPr>
          <w:rFonts w:hint="eastAsia" w:asciiTheme="minorEastAsia" w:hAnsiTheme="minorEastAsia"/>
          <w:b/>
          <w:bCs/>
          <w:color w:val="000000" w:themeColor="text1"/>
          <w:sz w:val="24"/>
          <w:szCs w:val="24"/>
          <w14:textFill>
            <w14:solidFill>
              <w14:schemeClr w14:val="tx1"/>
            </w14:solidFill>
          </w14:textFill>
        </w:rPr>
        <w:t>（八）信息披露的执行情况</w:t>
      </w:r>
    </w:p>
    <w:p w14:paraId="0D475AC0">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本人持续关注公司信息披露工作，认为公司202</w:t>
      </w:r>
      <w:r>
        <w:rPr>
          <w:rFonts w:hint="eastAsia" w:asciiTheme="minorEastAsia" w:hAnsiTheme="minorEastAsia"/>
          <w:color w:val="000000" w:themeColor="text1"/>
          <w:sz w:val="24"/>
          <w:szCs w:val="24"/>
          <w14:textFill>
            <w14:solidFill>
              <w14:schemeClr w14:val="tx1"/>
            </w14:solidFill>
          </w14:textFill>
        </w:rPr>
        <w:t>5</w:t>
      </w:r>
      <w:r>
        <w:rPr>
          <w:rFonts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14:textFill>
            <w14:solidFill>
              <w14:schemeClr w14:val="tx1"/>
            </w14:solidFill>
          </w14:textFill>
        </w:rPr>
        <w:t>认真履行了各项信息披露义务，确保披露信息的真实、准确、完整，不存在任何虚假记载、误导性陈述或重大遗漏，客观公允的反映了公司的经营现状，有利于帮助投资者及时了解公司状况，切实维护公司全体股东的权益。</w:t>
      </w:r>
    </w:p>
    <w:p w14:paraId="05711F17">
      <w:pPr>
        <w:spacing w:line="360" w:lineRule="auto"/>
        <w:ind w:firstLine="482" w:firstLineChars="200"/>
        <w:outlineLvl w:val="0"/>
        <w:rPr>
          <w:rFonts w:hint="eastAsia" w:asciiTheme="minorEastAsia" w:hAnsiTheme="minorEastAsia"/>
          <w:b/>
          <w:color w:val="000000" w:themeColor="text1"/>
          <w:sz w:val="24"/>
          <w:szCs w:val="24"/>
          <w14:textFill>
            <w14:solidFill>
              <w14:schemeClr w14:val="tx1"/>
            </w14:solidFill>
          </w14:textFill>
        </w:rPr>
      </w:pPr>
      <w:r>
        <w:rPr>
          <w:rFonts w:asciiTheme="minorEastAsia" w:hAnsiTheme="minorEastAsia"/>
          <w:b/>
          <w:color w:val="000000" w:themeColor="text1"/>
          <w:sz w:val="24"/>
          <w:szCs w:val="24"/>
          <w14:textFill>
            <w14:solidFill>
              <w14:schemeClr w14:val="tx1"/>
            </w14:solidFill>
          </w14:textFill>
        </w:rPr>
        <w:t>四、总体评价和建议</w:t>
      </w:r>
    </w:p>
    <w:p w14:paraId="5BDFD72B">
      <w:pPr>
        <w:spacing w:line="360" w:lineRule="auto"/>
        <w:ind w:firstLine="480" w:firstLineChars="200"/>
      </w:pPr>
      <w:r>
        <w:rPr>
          <w:rFonts w:hint="eastAsia" w:asciiTheme="minorEastAsia" w:hAnsiTheme="minorEastAsia"/>
          <w:color w:val="000000" w:themeColor="text1"/>
          <w:sz w:val="24"/>
          <w:szCs w:val="24"/>
          <w14:textFill>
            <w14:solidFill>
              <w14:schemeClr w14:val="tx1"/>
            </w14:solidFill>
          </w14:textFill>
        </w:rPr>
        <w:t>2025年，本人作为公司独立董事，始终秉持勤勉尽职的原则，以独立、客观、公正、审慎的态度履行职责，就相关事项发表专业意见，在保障公司规范运作、完善法人治理结构、维护公司及全体股东尤其是中小股东合法权益等方面发挥了积极作用。</w:t>
      </w:r>
    </w:p>
    <w:p w14:paraId="2FA8B99D">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2026年，本人将继续勤勉尽责，持续学习相关规范性文件，深入掌握公司经营动态，运用专业知识与经验为公司合规运营、稳健发展提供更多建设性意见，为董事会科学决策提供参考，进一步提升公司决策水平与持续经营能力，切实维护公司及全体股东特别是中小股东的合法权益。</w:t>
      </w:r>
    </w:p>
    <w:p w14:paraId="77DE75E8">
      <w:pPr>
        <w:spacing w:line="360" w:lineRule="auto"/>
        <w:ind w:firstLine="480" w:firstLineChars="200"/>
        <w:rPr>
          <w:rFonts w:hint="eastAsia" w:asciiTheme="minorEastAsia" w:hAnsiTheme="minorEastAsia"/>
          <w:color w:val="000000" w:themeColor="text1"/>
          <w:sz w:val="24"/>
          <w:szCs w:val="24"/>
          <w14:textFill>
            <w14:solidFill>
              <w14:schemeClr w14:val="tx1"/>
            </w14:solidFill>
          </w14:textFill>
        </w:rPr>
      </w:pPr>
    </w:p>
    <w:p w14:paraId="5C94A545">
      <w:pPr>
        <w:spacing w:line="360" w:lineRule="auto"/>
        <w:ind w:firstLine="480" w:firstLineChars="200"/>
        <w:jc w:val="right"/>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独立董事：</w:t>
      </w:r>
      <w:r>
        <w:rPr>
          <w:rFonts w:hint="eastAsia" w:asciiTheme="minorEastAsia" w:hAnsiTheme="minorEastAsia"/>
          <w:color w:val="000000" w:themeColor="text1"/>
          <w:sz w:val="24"/>
          <w:szCs w:val="24"/>
          <w14:textFill>
            <w14:solidFill>
              <w14:schemeClr w14:val="tx1"/>
            </w14:solidFill>
          </w14:textFill>
        </w:rPr>
        <w:t>赵惠芳</w:t>
      </w:r>
    </w:p>
    <w:p w14:paraId="4D953ADB">
      <w:pPr>
        <w:spacing w:line="360" w:lineRule="auto"/>
        <w:ind w:firstLine="480" w:firstLineChars="200"/>
        <w:jc w:val="right"/>
        <w:rPr>
          <w:rFonts w:hint="eastAsia" w:asciiTheme="minorEastAsia" w:hAnsiTheme="minorEastAsia"/>
          <w:color w:val="000000" w:themeColor="text1"/>
          <w:sz w:val="24"/>
          <w:szCs w:val="24"/>
          <w14:textFill>
            <w14:solidFill>
              <w14:schemeClr w14:val="tx1"/>
            </w14:solidFill>
          </w14:textFill>
        </w:rPr>
      </w:pPr>
      <w:r>
        <w:rPr>
          <w:rFonts w:asciiTheme="minorEastAsia" w:hAnsiTheme="minorEastAsia"/>
          <w:color w:val="000000" w:themeColor="text1"/>
          <w:sz w:val="24"/>
          <w:szCs w:val="24"/>
          <w14:textFill>
            <w14:solidFill>
              <w14:schemeClr w14:val="tx1"/>
            </w14:solidFill>
          </w14:textFill>
        </w:rPr>
        <w:t>202</w:t>
      </w:r>
      <w:r>
        <w:rPr>
          <w:rFonts w:hint="eastAsia" w:asciiTheme="minorEastAsia" w:hAnsiTheme="minorEastAsia"/>
          <w:color w:val="000000" w:themeColor="text1"/>
          <w:sz w:val="24"/>
          <w:szCs w:val="24"/>
          <w14:textFill>
            <w14:solidFill>
              <w14:schemeClr w14:val="tx1"/>
            </w14:solidFill>
          </w14:textFill>
        </w:rPr>
        <w:t>6</w:t>
      </w:r>
      <w:r>
        <w:rPr>
          <w:rFonts w:asciiTheme="minorEastAsia" w:hAnsiTheme="minorEastAsia"/>
          <w:color w:val="000000" w:themeColor="text1"/>
          <w:sz w:val="24"/>
          <w:szCs w:val="24"/>
          <w14:textFill>
            <w14:solidFill>
              <w14:schemeClr w14:val="tx1"/>
            </w14:solidFill>
          </w14:textFill>
        </w:rPr>
        <w:t>年</w:t>
      </w:r>
      <w:r>
        <w:rPr>
          <w:rFonts w:hint="eastAsia" w:asciiTheme="minorEastAsia" w:hAnsiTheme="minorEastAsia"/>
          <w:color w:val="000000" w:themeColor="text1"/>
          <w:sz w:val="24"/>
          <w:szCs w:val="24"/>
          <w14:textFill>
            <w14:solidFill>
              <w14:schemeClr w14:val="tx1"/>
            </w14:solidFill>
          </w14:textFill>
        </w:rPr>
        <w:t>4</w:t>
      </w:r>
      <w:r>
        <w:rPr>
          <w:rFonts w:asciiTheme="minorEastAsia" w:hAnsiTheme="minorEastAsia"/>
          <w:color w:val="000000" w:themeColor="text1"/>
          <w:sz w:val="24"/>
          <w:szCs w:val="24"/>
          <w14:textFill>
            <w14:solidFill>
              <w14:schemeClr w14:val="tx1"/>
            </w14:solidFill>
          </w14:textFill>
        </w:rPr>
        <w:t>月</w:t>
      </w:r>
      <w:r>
        <w:rPr>
          <w:rFonts w:hint="eastAsia" w:asciiTheme="minorEastAsia" w:hAnsiTheme="minorEastAsia"/>
          <w:color w:val="000000" w:themeColor="text1"/>
          <w:sz w:val="24"/>
          <w:szCs w:val="24"/>
          <w14:textFill>
            <w14:solidFill>
              <w14:schemeClr w14:val="tx1"/>
            </w14:solidFill>
          </w14:textFill>
        </w:rPr>
        <w:t>26</w:t>
      </w:r>
      <w:r>
        <w:rPr>
          <w:rFonts w:asciiTheme="minorEastAsia" w:hAnsiTheme="minorEastAsia"/>
          <w:color w:val="000000" w:themeColor="text1"/>
          <w:sz w:val="24"/>
          <w:szCs w:val="24"/>
          <w14:textFill>
            <w14:solidFill>
              <w14:schemeClr w14:val="tx1"/>
            </w14:solidFill>
          </w14:textFill>
        </w:rPr>
        <w:t>日</w:t>
      </w:r>
    </w:p>
    <w:p w14:paraId="1E4BD209">
      <w:pPr>
        <w:spacing w:line="360" w:lineRule="auto"/>
        <w:ind w:firstLine="480" w:firstLineChars="200"/>
        <w:jc w:val="right"/>
        <w:rPr>
          <w:rFonts w:hint="eastAsia" w:asciiTheme="minorEastAsia" w:hAnsiTheme="minorEastAsia"/>
          <w:color w:val="000000" w:themeColor="text1"/>
          <w:sz w:val="24"/>
          <w:szCs w:val="24"/>
          <w14:textFill>
            <w14:solidFill>
              <w14:schemeClr w14:val="tx1"/>
            </w14:solidFill>
          </w14:textFill>
        </w:rPr>
      </w:pPr>
    </w:p>
    <w:p w14:paraId="7BAE14BB">
      <w:pPr>
        <w:spacing w:line="360" w:lineRule="auto"/>
        <w:ind w:firstLine="480" w:firstLineChars="200"/>
        <w:jc w:val="right"/>
        <w:rPr>
          <w:rFonts w:hint="eastAsia" w:asciiTheme="minorEastAsia" w:hAnsiTheme="minorEastAsia"/>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D19"/>
    <w:rsid w:val="00011945"/>
    <w:rsid w:val="00017AF5"/>
    <w:rsid w:val="00024CF5"/>
    <w:rsid w:val="000273CC"/>
    <w:rsid w:val="000274B2"/>
    <w:rsid w:val="00027C1D"/>
    <w:rsid w:val="00044BF8"/>
    <w:rsid w:val="00046672"/>
    <w:rsid w:val="00060317"/>
    <w:rsid w:val="00066C42"/>
    <w:rsid w:val="000708F6"/>
    <w:rsid w:val="0008038C"/>
    <w:rsid w:val="00095271"/>
    <w:rsid w:val="000965B5"/>
    <w:rsid w:val="0009669A"/>
    <w:rsid w:val="000A06C4"/>
    <w:rsid w:val="000A1442"/>
    <w:rsid w:val="000A57CC"/>
    <w:rsid w:val="000D3D30"/>
    <w:rsid w:val="000D563D"/>
    <w:rsid w:val="000E1718"/>
    <w:rsid w:val="000E24A1"/>
    <w:rsid w:val="000F768F"/>
    <w:rsid w:val="0010411B"/>
    <w:rsid w:val="00111EA7"/>
    <w:rsid w:val="001130DE"/>
    <w:rsid w:val="00113455"/>
    <w:rsid w:val="00120220"/>
    <w:rsid w:val="00122D1A"/>
    <w:rsid w:val="00123C53"/>
    <w:rsid w:val="001279EF"/>
    <w:rsid w:val="00140B8B"/>
    <w:rsid w:val="00143117"/>
    <w:rsid w:val="0015208F"/>
    <w:rsid w:val="00163303"/>
    <w:rsid w:val="00163979"/>
    <w:rsid w:val="00164D19"/>
    <w:rsid w:val="00165056"/>
    <w:rsid w:val="00181E88"/>
    <w:rsid w:val="001C592B"/>
    <w:rsid w:val="001C706E"/>
    <w:rsid w:val="001D0F13"/>
    <w:rsid w:val="001D2E83"/>
    <w:rsid w:val="001D728E"/>
    <w:rsid w:val="001F018D"/>
    <w:rsid w:val="002049E3"/>
    <w:rsid w:val="002054E6"/>
    <w:rsid w:val="002107EA"/>
    <w:rsid w:val="00224DA4"/>
    <w:rsid w:val="002265B1"/>
    <w:rsid w:val="002344E4"/>
    <w:rsid w:val="0024152C"/>
    <w:rsid w:val="002421C1"/>
    <w:rsid w:val="00250AA8"/>
    <w:rsid w:val="00255E42"/>
    <w:rsid w:val="00262571"/>
    <w:rsid w:val="00263892"/>
    <w:rsid w:val="00265641"/>
    <w:rsid w:val="00285873"/>
    <w:rsid w:val="002B6229"/>
    <w:rsid w:val="002B77FC"/>
    <w:rsid w:val="002C2EB1"/>
    <w:rsid w:val="002D06A4"/>
    <w:rsid w:val="002E0B68"/>
    <w:rsid w:val="002E51C4"/>
    <w:rsid w:val="002F229D"/>
    <w:rsid w:val="0030535D"/>
    <w:rsid w:val="00306614"/>
    <w:rsid w:val="00313981"/>
    <w:rsid w:val="003154E5"/>
    <w:rsid w:val="0032271D"/>
    <w:rsid w:val="00330212"/>
    <w:rsid w:val="003308B8"/>
    <w:rsid w:val="00331A9F"/>
    <w:rsid w:val="00335678"/>
    <w:rsid w:val="00350B19"/>
    <w:rsid w:val="0036420B"/>
    <w:rsid w:val="00364DFA"/>
    <w:rsid w:val="003837B9"/>
    <w:rsid w:val="00387231"/>
    <w:rsid w:val="003A06FB"/>
    <w:rsid w:val="003B078D"/>
    <w:rsid w:val="003B7BE6"/>
    <w:rsid w:val="003C3F7B"/>
    <w:rsid w:val="003D4DAE"/>
    <w:rsid w:val="003D592C"/>
    <w:rsid w:val="003D731E"/>
    <w:rsid w:val="003E43A7"/>
    <w:rsid w:val="003E67BB"/>
    <w:rsid w:val="00401232"/>
    <w:rsid w:val="00403DEF"/>
    <w:rsid w:val="00415C37"/>
    <w:rsid w:val="00420A82"/>
    <w:rsid w:val="00420DD9"/>
    <w:rsid w:val="00424071"/>
    <w:rsid w:val="00432C7B"/>
    <w:rsid w:val="004345CF"/>
    <w:rsid w:val="00436FD6"/>
    <w:rsid w:val="00446B56"/>
    <w:rsid w:val="00465214"/>
    <w:rsid w:val="00486C03"/>
    <w:rsid w:val="00487ED2"/>
    <w:rsid w:val="0049034D"/>
    <w:rsid w:val="004924AF"/>
    <w:rsid w:val="00492A58"/>
    <w:rsid w:val="00496FB5"/>
    <w:rsid w:val="004A0713"/>
    <w:rsid w:val="004A3D38"/>
    <w:rsid w:val="004B4961"/>
    <w:rsid w:val="004B505B"/>
    <w:rsid w:val="004B733B"/>
    <w:rsid w:val="004C1299"/>
    <w:rsid w:val="004E24E2"/>
    <w:rsid w:val="00504685"/>
    <w:rsid w:val="00510152"/>
    <w:rsid w:val="00520BD0"/>
    <w:rsid w:val="00522B8C"/>
    <w:rsid w:val="005306D8"/>
    <w:rsid w:val="00531782"/>
    <w:rsid w:val="0054073D"/>
    <w:rsid w:val="00542A16"/>
    <w:rsid w:val="00555E46"/>
    <w:rsid w:val="0056140C"/>
    <w:rsid w:val="005618C6"/>
    <w:rsid w:val="005751DE"/>
    <w:rsid w:val="005B6F1A"/>
    <w:rsid w:val="005C3B9A"/>
    <w:rsid w:val="005C4854"/>
    <w:rsid w:val="005C60E2"/>
    <w:rsid w:val="005D263C"/>
    <w:rsid w:val="005D7BE5"/>
    <w:rsid w:val="005E3182"/>
    <w:rsid w:val="005F264A"/>
    <w:rsid w:val="00611731"/>
    <w:rsid w:val="006131D8"/>
    <w:rsid w:val="006137DB"/>
    <w:rsid w:val="006157BC"/>
    <w:rsid w:val="00620D6C"/>
    <w:rsid w:val="00636396"/>
    <w:rsid w:val="00645225"/>
    <w:rsid w:val="00646B46"/>
    <w:rsid w:val="00651AD8"/>
    <w:rsid w:val="00660BBA"/>
    <w:rsid w:val="00661A10"/>
    <w:rsid w:val="0067500D"/>
    <w:rsid w:val="00677BE7"/>
    <w:rsid w:val="00692019"/>
    <w:rsid w:val="006B2B0A"/>
    <w:rsid w:val="006B36E1"/>
    <w:rsid w:val="006C1BA4"/>
    <w:rsid w:val="006C3954"/>
    <w:rsid w:val="006C4806"/>
    <w:rsid w:val="006D0C40"/>
    <w:rsid w:val="006D16E8"/>
    <w:rsid w:val="006D6003"/>
    <w:rsid w:val="006E5EF1"/>
    <w:rsid w:val="006F577B"/>
    <w:rsid w:val="00701B50"/>
    <w:rsid w:val="00705C32"/>
    <w:rsid w:val="00710B06"/>
    <w:rsid w:val="0071757C"/>
    <w:rsid w:val="00724EAE"/>
    <w:rsid w:val="007271F3"/>
    <w:rsid w:val="00732352"/>
    <w:rsid w:val="007326A5"/>
    <w:rsid w:val="00733B9D"/>
    <w:rsid w:val="007356C5"/>
    <w:rsid w:val="00740478"/>
    <w:rsid w:val="00741245"/>
    <w:rsid w:val="007438AD"/>
    <w:rsid w:val="0075424C"/>
    <w:rsid w:val="00791FD8"/>
    <w:rsid w:val="007A491A"/>
    <w:rsid w:val="007B50CB"/>
    <w:rsid w:val="007D1889"/>
    <w:rsid w:val="007E2EE3"/>
    <w:rsid w:val="007F1813"/>
    <w:rsid w:val="007F6C1F"/>
    <w:rsid w:val="008052C9"/>
    <w:rsid w:val="008052E1"/>
    <w:rsid w:val="008066F4"/>
    <w:rsid w:val="00811CC7"/>
    <w:rsid w:val="00816649"/>
    <w:rsid w:val="00822A07"/>
    <w:rsid w:val="00830F31"/>
    <w:rsid w:val="008344B1"/>
    <w:rsid w:val="0084198F"/>
    <w:rsid w:val="00842510"/>
    <w:rsid w:val="00842D8E"/>
    <w:rsid w:val="00850261"/>
    <w:rsid w:val="008641C3"/>
    <w:rsid w:val="008846E4"/>
    <w:rsid w:val="00885A2C"/>
    <w:rsid w:val="008A07B2"/>
    <w:rsid w:val="008A22DD"/>
    <w:rsid w:val="008A3F9B"/>
    <w:rsid w:val="008B3EFA"/>
    <w:rsid w:val="008C4BA0"/>
    <w:rsid w:val="008D58BD"/>
    <w:rsid w:val="008D5FE7"/>
    <w:rsid w:val="008E0C01"/>
    <w:rsid w:val="008E1507"/>
    <w:rsid w:val="008E2900"/>
    <w:rsid w:val="008F6DDC"/>
    <w:rsid w:val="008F7316"/>
    <w:rsid w:val="009020BA"/>
    <w:rsid w:val="00904DBD"/>
    <w:rsid w:val="00906689"/>
    <w:rsid w:val="00915B75"/>
    <w:rsid w:val="00921B8F"/>
    <w:rsid w:val="0092375F"/>
    <w:rsid w:val="00934A47"/>
    <w:rsid w:val="00936F06"/>
    <w:rsid w:val="009411EF"/>
    <w:rsid w:val="00960B6B"/>
    <w:rsid w:val="009724BD"/>
    <w:rsid w:val="0097260C"/>
    <w:rsid w:val="00991B45"/>
    <w:rsid w:val="009A0993"/>
    <w:rsid w:val="009A5E00"/>
    <w:rsid w:val="009B206E"/>
    <w:rsid w:val="009B4193"/>
    <w:rsid w:val="009B6471"/>
    <w:rsid w:val="009C15B0"/>
    <w:rsid w:val="009C3175"/>
    <w:rsid w:val="009C4E14"/>
    <w:rsid w:val="009E598D"/>
    <w:rsid w:val="009E5E8E"/>
    <w:rsid w:val="009F0B45"/>
    <w:rsid w:val="009F3C5A"/>
    <w:rsid w:val="009F4431"/>
    <w:rsid w:val="009F486C"/>
    <w:rsid w:val="00A00CDF"/>
    <w:rsid w:val="00A06671"/>
    <w:rsid w:val="00A11BFE"/>
    <w:rsid w:val="00A1361E"/>
    <w:rsid w:val="00A13AFD"/>
    <w:rsid w:val="00A14F40"/>
    <w:rsid w:val="00A20479"/>
    <w:rsid w:val="00A35B95"/>
    <w:rsid w:val="00A4041F"/>
    <w:rsid w:val="00A443BC"/>
    <w:rsid w:val="00A530F8"/>
    <w:rsid w:val="00A6041F"/>
    <w:rsid w:val="00A63DD2"/>
    <w:rsid w:val="00A66E47"/>
    <w:rsid w:val="00A75B77"/>
    <w:rsid w:val="00A776F1"/>
    <w:rsid w:val="00A836F5"/>
    <w:rsid w:val="00AA411C"/>
    <w:rsid w:val="00AA5083"/>
    <w:rsid w:val="00AA594C"/>
    <w:rsid w:val="00AB16E2"/>
    <w:rsid w:val="00AB72B1"/>
    <w:rsid w:val="00AD00C9"/>
    <w:rsid w:val="00AD1743"/>
    <w:rsid w:val="00AD4671"/>
    <w:rsid w:val="00AE49EB"/>
    <w:rsid w:val="00AF5775"/>
    <w:rsid w:val="00AF71E5"/>
    <w:rsid w:val="00AF72F8"/>
    <w:rsid w:val="00AF7FF5"/>
    <w:rsid w:val="00B04DF9"/>
    <w:rsid w:val="00B105A1"/>
    <w:rsid w:val="00B1700B"/>
    <w:rsid w:val="00B424C0"/>
    <w:rsid w:val="00B60D0B"/>
    <w:rsid w:val="00B64B83"/>
    <w:rsid w:val="00B715F8"/>
    <w:rsid w:val="00B7211E"/>
    <w:rsid w:val="00B90765"/>
    <w:rsid w:val="00BA414B"/>
    <w:rsid w:val="00BB1A5A"/>
    <w:rsid w:val="00BC5D53"/>
    <w:rsid w:val="00BD156A"/>
    <w:rsid w:val="00BD7722"/>
    <w:rsid w:val="00BE3A44"/>
    <w:rsid w:val="00BF28D1"/>
    <w:rsid w:val="00BF3C38"/>
    <w:rsid w:val="00BF7AA8"/>
    <w:rsid w:val="00C022F1"/>
    <w:rsid w:val="00C04FEC"/>
    <w:rsid w:val="00C07232"/>
    <w:rsid w:val="00C0762F"/>
    <w:rsid w:val="00C22EB1"/>
    <w:rsid w:val="00C23FBB"/>
    <w:rsid w:val="00C24C3D"/>
    <w:rsid w:val="00C26BD1"/>
    <w:rsid w:val="00C323F4"/>
    <w:rsid w:val="00C34E9E"/>
    <w:rsid w:val="00C37E84"/>
    <w:rsid w:val="00C413EA"/>
    <w:rsid w:val="00C62792"/>
    <w:rsid w:val="00C62ED3"/>
    <w:rsid w:val="00C6675B"/>
    <w:rsid w:val="00C72DE4"/>
    <w:rsid w:val="00C7490C"/>
    <w:rsid w:val="00C87CD8"/>
    <w:rsid w:val="00C97EB3"/>
    <w:rsid w:val="00CA415D"/>
    <w:rsid w:val="00CB53FE"/>
    <w:rsid w:val="00CD15CA"/>
    <w:rsid w:val="00CD67E0"/>
    <w:rsid w:val="00CE1E09"/>
    <w:rsid w:val="00CE375F"/>
    <w:rsid w:val="00CE3BF7"/>
    <w:rsid w:val="00CE65B0"/>
    <w:rsid w:val="00D03922"/>
    <w:rsid w:val="00D053B5"/>
    <w:rsid w:val="00D1796A"/>
    <w:rsid w:val="00D31A46"/>
    <w:rsid w:val="00D36DBC"/>
    <w:rsid w:val="00D4680F"/>
    <w:rsid w:val="00D52A38"/>
    <w:rsid w:val="00D57C76"/>
    <w:rsid w:val="00D63A4E"/>
    <w:rsid w:val="00D751B9"/>
    <w:rsid w:val="00D82881"/>
    <w:rsid w:val="00D8773C"/>
    <w:rsid w:val="00D965E1"/>
    <w:rsid w:val="00DD0B6E"/>
    <w:rsid w:val="00DD3A38"/>
    <w:rsid w:val="00DD3AFB"/>
    <w:rsid w:val="00DD43A1"/>
    <w:rsid w:val="00DE0DBC"/>
    <w:rsid w:val="00DE64DD"/>
    <w:rsid w:val="00DF415F"/>
    <w:rsid w:val="00DF41A0"/>
    <w:rsid w:val="00DF50FD"/>
    <w:rsid w:val="00DF68AB"/>
    <w:rsid w:val="00E20AE3"/>
    <w:rsid w:val="00E27ABD"/>
    <w:rsid w:val="00E347AC"/>
    <w:rsid w:val="00E41C76"/>
    <w:rsid w:val="00E56D11"/>
    <w:rsid w:val="00E60649"/>
    <w:rsid w:val="00E63DD2"/>
    <w:rsid w:val="00E66909"/>
    <w:rsid w:val="00E70DCF"/>
    <w:rsid w:val="00E75F53"/>
    <w:rsid w:val="00EA1D02"/>
    <w:rsid w:val="00EB110A"/>
    <w:rsid w:val="00EB465B"/>
    <w:rsid w:val="00EC1FD5"/>
    <w:rsid w:val="00EC297D"/>
    <w:rsid w:val="00EE2857"/>
    <w:rsid w:val="00EE6B54"/>
    <w:rsid w:val="00EF4EA5"/>
    <w:rsid w:val="00EF673C"/>
    <w:rsid w:val="00F06679"/>
    <w:rsid w:val="00F13CE2"/>
    <w:rsid w:val="00F16C34"/>
    <w:rsid w:val="00F4040B"/>
    <w:rsid w:val="00F4561C"/>
    <w:rsid w:val="00F45A69"/>
    <w:rsid w:val="00F55B4C"/>
    <w:rsid w:val="00F6745C"/>
    <w:rsid w:val="00F755D4"/>
    <w:rsid w:val="00F77BA6"/>
    <w:rsid w:val="00F815C4"/>
    <w:rsid w:val="00F84E9E"/>
    <w:rsid w:val="00F9099D"/>
    <w:rsid w:val="00F91E44"/>
    <w:rsid w:val="00F96017"/>
    <w:rsid w:val="00FA2A45"/>
    <w:rsid w:val="00FA3FFF"/>
    <w:rsid w:val="00FA6515"/>
    <w:rsid w:val="00FB2609"/>
    <w:rsid w:val="00FC504A"/>
    <w:rsid w:val="00FD50D7"/>
    <w:rsid w:val="00FD5518"/>
    <w:rsid w:val="00FE08F1"/>
    <w:rsid w:val="00FE3637"/>
    <w:rsid w:val="00FE379E"/>
    <w:rsid w:val="00FF511D"/>
    <w:rsid w:val="00FF7D35"/>
    <w:rsid w:val="01AF0E8E"/>
    <w:rsid w:val="06361B7E"/>
    <w:rsid w:val="08EB6C4F"/>
    <w:rsid w:val="0E9A5F60"/>
    <w:rsid w:val="1D666D95"/>
    <w:rsid w:val="1EED6A69"/>
    <w:rsid w:val="257D4C7B"/>
    <w:rsid w:val="264659B5"/>
    <w:rsid w:val="290A5ABA"/>
    <w:rsid w:val="29BF6131"/>
    <w:rsid w:val="2CA927FA"/>
    <w:rsid w:val="30B72D46"/>
    <w:rsid w:val="30E74301"/>
    <w:rsid w:val="30F1651D"/>
    <w:rsid w:val="32617AED"/>
    <w:rsid w:val="32C4213C"/>
    <w:rsid w:val="34EB213D"/>
    <w:rsid w:val="36EA6615"/>
    <w:rsid w:val="3B2D45F6"/>
    <w:rsid w:val="3C6473E9"/>
    <w:rsid w:val="3E03137C"/>
    <w:rsid w:val="3FC11176"/>
    <w:rsid w:val="45B24484"/>
    <w:rsid w:val="4E0B6A5B"/>
    <w:rsid w:val="4E1A152A"/>
    <w:rsid w:val="4E2D2E33"/>
    <w:rsid w:val="565151E5"/>
    <w:rsid w:val="5D720E02"/>
    <w:rsid w:val="60692E08"/>
    <w:rsid w:val="635A521F"/>
    <w:rsid w:val="668008D7"/>
    <w:rsid w:val="715776FB"/>
    <w:rsid w:val="786731E2"/>
    <w:rsid w:val="7BEF421F"/>
    <w:rsid w:val="7F993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7"/>
    <w:semiHidden/>
    <w:qFormat/>
    <w:uiPriority w:val="99"/>
    <w:rPr>
      <w:b/>
      <w:bCs/>
    </w:rPr>
  </w:style>
  <w:style w:type="character" w:customStyle="1" w:styleId="15">
    <w:name w:val="批注框文本 字符"/>
    <w:basedOn w:val="9"/>
    <w:link w:val="4"/>
    <w:semiHidden/>
    <w:qFormat/>
    <w:uiPriority w:val="99"/>
    <w:rPr>
      <w:sz w:val="18"/>
      <w:szCs w:val="18"/>
    </w:rPr>
  </w:style>
  <w:style w:type="character" w:customStyle="1" w:styleId="16">
    <w:name w:val="日期 字符"/>
    <w:basedOn w:val="9"/>
    <w:link w:val="3"/>
    <w:semiHidden/>
    <w:qFormat/>
    <w:uiPriority w:val="99"/>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3685</Words>
  <Characters>3796</Characters>
  <Lines>239</Lines>
  <Paragraphs>226</Paragraphs>
  <TotalTime>1</TotalTime>
  <ScaleCrop>false</ScaleCrop>
  <LinksUpToDate>false</LinksUpToDate>
  <CharactersWithSpaces>3796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2026-04-23T14:04:00Z</dcterms:created>
  <dc:creator>林玲</dc:creator>
  <cp:lastModifiedBy>夏阿花</cp:lastModifiedBy>
  <cp:lastPrinted>2024-04-13T08:38:00Z</cp:lastPrinted>
  <dcterms:modified xsi:type="dcterms:W3CDTF">2026-04-25T06:47:47Z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CFEECCB3A7E740258AE93FFFC08E5161_12</vt:lpwstr>
  </property>
</Properties>
</file>