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9D498">
      <w:pPr>
        <w:autoSpaceDE w:val="0"/>
        <w:autoSpaceDN w:val="0"/>
        <w:adjustRightInd w:val="0"/>
        <w:snapToGrid w:val="0"/>
        <w:spacing w:line="360" w:lineRule="auto"/>
        <w:jc w:val="center"/>
        <w:textAlignment w:val="baseline"/>
        <w:rPr>
          <w:rFonts w:hint="eastAsia" w:ascii="宋体" w:hAnsi="宋体"/>
          <w:b/>
          <w:sz w:val="36"/>
          <w:szCs w:val="36"/>
        </w:rPr>
      </w:pPr>
      <w:r>
        <w:rPr>
          <w:rFonts w:hint="eastAsia" w:ascii="宋体" w:hAnsi="宋体"/>
          <w:b/>
          <w:sz w:val="36"/>
          <w:szCs w:val="36"/>
        </w:rPr>
        <w:t>安徽省交通建设股份有限公司</w:t>
      </w:r>
    </w:p>
    <w:p w14:paraId="696DACA0">
      <w:pPr>
        <w:autoSpaceDE w:val="0"/>
        <w:autoSpaceDN w:val="0"/>
        <w:adjustRightInd w:val="0"/>
        <w:snapToGrid w:val="0"/>
        <w:spacing w:line="360" w:lineRule="auto"/>
        <w:jc w:val="center"/>
        <w:textAlignment w:val="baseline"/>
        <w:rPr>
          <w:rFonts w:hint="eastAsia" w:ascii="宋体" w:hAnsi="宋体"/>
          <w:b/>
          <w:sz w:val="36"/>
          <w:szCs w:val="36"/>
        </w:rPr>
      </w:pPr>
      <w:r>
        <w:rPr>
          <w:rFonts w:hint="eastAsia" w:ascii="宋体" w:hAnsi="宋体"/>
          <w:b/>
          <w:sz w:val="36"/>
          <w:szCs w:val="36"/>
        </w:rPr>
        <w:t>2</w:t>
      </w:r>
      <w:r>
        <w:rPr>
          <w:rFonts w:ascii="宋体" w:hAnsi="宋体"/>
          <w:b/>
          <w:sz w:val="36"/>
          <w:szCs w:val="36"/>
        </w:rPr>
        <w:t>0</w:t>
      </w:r>
      <w:r>
        <w:rPr>
          <w:rFonts w:hint="eastAsia" w:ascii="宋体" w:hAnsi="宋体"/>
          <w:b/>
          <w:sz w:val="36"/>
          <w:szCs w:val="36"/>
        </w:rPr>
        <w:t>2</w:t>
      </w:r>
      <w:r>
        <w:rPr>
          <w:rFonts w:hint="eastAsia" w:ascii="宋体" w:hAnsi="宋体"/>
          <w:b/>
          <w:sz w:val="36"/>
          <w:szCs w:val="36"/>
          <w:lang w:val="en-US" w:eastAsia="zh-CN"/>
        </w:rPr>
        <w:t>5</w:t>
      </w:r>
      <w:r>
        <w:rPr>
          <w:rFonts w:hint="eastAsia" w:ascii="宋体" w:hAnsi="宋体"/>
          <w:b/>
          <w:sz w:val="36"/>
          <w:szCs w:val="36"/>
        </w:rPr>
        <w:t xml:space="preserve">年度独立董事述职报告 </w:t>
      </w:r>
    </w:p>
    <w:p w14:paraId="2F84550F">
      <w:pPr>
        <w:autoSpaceDE w:val="0"/>
        <w:autoSpaceDN w:val="0"/>
        <w:adjustRightInd w:val="0"/>
        <w:snapToGrid w:val="0"/>
        <w:spacing w:line="360" w:lineRule="auto"/>
        <w:jc w:val="center"/>
        <w:textAlignment w:val="baseline"/>
        <w:rPr>
          <w:rFonts w:hint="eastAsia" w:ascii="宋体" w:hAnsi="宋体"/>
          <w:bCs/>
          <w:sz w:val="24"/>
          <w:szCs w:val="24"/>
        </w:rPr>
      </w:pPr>
      <w:r>
        <w:rPr>
          <w:rFonts w:hint="eastAsia" w:ascii="宋体" w:hAnsi="宋体"/>
          <w:bCs/>
          <w:sz w:val="24"/>
          <w:szCs w:val="24"/>
        </w:rPr>
        <w:t>张治栋</w:t>
      </w:r>
    </w:p>
    <w:p w14:paraId="02BFFF9D">
      <w:pPr>
        <w:autoSpaceDE w:val="0"/>
        <w:autoSpaceDN w:val="0"/>
        <w:adjustRightInd w:val="0"/>
        <w:snapToGrid w:val="0"/>
        <w:spacing w:line="360" w:lineRule="auto"/>
        <w:jc w:val="center"/>
        <w:textAlignment w:val="baseline"/>
        <w:rPr>
          <w:rFonts w:hint="eastAsia" w:ascii="宋体" w:hAnsi="宋体"/>
          <w:bCs/>
          <w:sz w:val="28"/>
          <w:szCs w:val="28"/>
        </w:rPr>
      </w:pPr>
    </w:p>
    <w:p w14:paraId="1ABDD160">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hint="eastAsia" w:ascii="宋体" w:hAnsi="宋体"/>
          <w:sz w:val="24"/>
          <w:szCs w:val="24"/>
        </w:rPr>
        <w:t>本人作为安徽省交通建设股份有限公司（以下简称“交建股份”或“公司”）的独立董事，在任职期间</w:t>
      </w:r>
      <w:r>
        <w:rPr>
          <w:rFonts w:ascii="宋体" w:hAnsi="宋体"/>
          <w:sz w:val="24"/>
          <w:szCs w:val="24"/>
        </w:rPr>
        <w:t>严格按照</w:t>
      </w:r>
      <w:bookmarkStart w:id="0" w:name="_Hlk163396010"/>
      <w:r>
        <w:rPr>
          <w:rFonts w:ascii="宋体" w:hAnsi="宋体"/>
          <w:sz w:val="24"/>
          <w:szCs w:val="24"/>
        </w:rPr>
        <w:t>《</w:t>
      </w:r>
      <w:r>
        <w:rPr>
          <w:rFonts w:hint="eastAsia" w:ascii="宋体" w:hAnsi="宋体"/>
          <w:sz w:val="24"/>
          <w:szCs w:val="24"/>
        </w:rPr>
        <w:t>中华人民共和国</w:t>
      </w:r>
      <w:r>
        <w:rPr>
          <w:rFonts w:ascii="宋体" w:hAnsi="宋体"/>
          <w:sz w:val="24"/>
          <w:szCs w:val="24"/>
        </w:rPr>
        <w:t>公司法》《上市公司治理准则》《上市公司独立董事</w:t>
      </w:r>
      <w:r>
        <w:rPr>
          <w:rFonts w:hint="eastAsia" w:ascii="宋体" w:hAnsi="宋体"/>
          <w:sz w:val="24"/>
          <w:szCs w:val="24"/>
        </w:rPr>
        <w:t>管理办法</w:t>
      </w:r>
      <w:r>
        <w:rPr>
          <w:rFonts w:ascii="宋体" w:hAnsi="宋体"/>
          <w:sz w:val="24"/>
          <w:szCs w:val="24"/>
        </w:rPr>
        <w:t>》《上海证券交易所上市公司自律监管指引第1号——规范运作》等法律法规以及《公司章程》</w:t>
      </w:r>
      <w:bookmarkEnd w:id="0"/>
      <w:r>
        <w:rPr>
          <w:rFonts w:ascii="宋体" w:hAnsi="宋体"/>
          <w:sz w:val="24"/>
          <w:szCs w:val="24"/>
        </w:rPr>
        <w:t>等有关规定</w:t>
      </w:r>
      <w:r>
        <w:rPr>
          <w:rFonts w:hint="eastAsia" w:ascii="宋体" w:hAnsi="宋体"/>
          <w:sz w:val="24"/>
          <w:szCs w:val="24"/>
        </w:rPr>
        <w:t>和要求</w:t>
      </w:r>
      <w:r>
        <w:rPr>
          <w:rFonts w:ascii="宋体" w:hAnsi="宋体"/>
          <w:sz w:val="24"/>
          <w:szCs w:val="24"/>
        </w:rPr>
        <w:t>，本着客观、公正、独立的原则，勤勉尽责、独立履职，及时了解公司的生产经营及发展情况，积极出席公司相关会议，充分发挥独立董事的作用，进一步维护公司整体利益，维护全体股东尤其是中小股东的合法权益。现将本人202</w:t>
      </w:r>
      <w:r>
        <w:rPr>
          <w:rFonts w:hint="eastAsia" w:ascii="宋体" w:hAnsi="宋体"/>
          <w:sz w:val="24"/>
          <w:szCs w:val="24"/>
          <w:lang w:val="en-US" w:eastAsia="zh-CN"/>
        </w:rPr>
        <w:t>5</w:t>
      </w:r>
      <w:r>
        <w:rPr>
          <w:rFonts w:ascii="宋体" w:hAnsi="宋体"/>
          <w:sz w:val="24"/>
          <w:szCs w:val="24"/>
        </w:rPr>
        <w:t>年度履职情况报告如下：</w:t>
      </w:r>
    </w:p>
    <w:p w14:paraId="7F161136">
      <w:pPr>
        <w:spacing w:after="156" w:afterLines="50" w:line="360" w:lineRule="auto"/>
        <w:ind w:firstLine="482" w:firstLineChars="200"/>
        <w:outlineLvl w:val="0"/>
        <w:rPr>
          <w:rFonts w:hint="eastAsia" w:ascii="宋体" w:hAnsi="宋体"/>
          <w:b/>
          <w:bCs/>
          <w:sz w:val="24"/>
          <w:szCs w:val="24"/>
        </w:rPr>
      </w:pPr>
      <w:r>
        <w:rPr>
          <w:rFonts w:hint="eastAsia" w:ascii="宋体" w:hAnsi="宋体"/>
          <w:b/>
          <w:bCs/>
          <w:sz w:val="24"/>
          <w:szCs w:val="24"/>
        </w:rPr>
        <w:t>一、独立董事的基本情况</w:t>
      </w:r>
    </w:p>
    <w:p w14:paraId="0C9F4473">
      <w:pPr>
        <w:autoSpaceDE w:val="0"/>
        <w:autoSpaceDN w:val="0"/>
        <w:adjustRightInd w:val="0"/>
        <w:snapToGrid w:val="0"/>
        <w:spacing w:after="156" w:afterLines="50" w:line="360" w:lineRule="auto"/>
        <w:ind w:firstLine="482" w:firstLineChars="200"/>
        <w:textAlignment w:val="baseline"/>
        <w:outlineLvl w:val="1"/>
        <w:rPr>
          <w:rFonts w:hint="eastAsia" w:ascii="宋体" w:hAnsi="宋体"/>
          <w:b/>
          <w:bCs/>
          <w:sz w:val="24"/>
          <w:szCs w:val="24"/>
        </w:rPr>
      </w:pPr>
      <w:r>
        <w:rPr>
          <w:rFonts w:hint="eastAsia" w:ascii="宋体" w:hAnsi="宋体"/>
          <w:b/>
          <w:bCs/>
          <w:sz w:val="24"/>
          <w:szCs w:val="24"/>
        </w:rPr>
        <w:t>（一）个人工作履历、专业背景以及兼职情况</w:t>
      </w:r>
    </w:p>
    <w:p w14:paraId="55119EC2">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张治栋，</w:t>
      </w:r>
      <w:r>
        <w:rPr>
          <w:rFonts w:hint="eastAsia" w:ascii="宋体" w:hAnsi="宋体"/>
          <w:sz w:val="24"/>
          <w:szCs w:val="24"/>
        </w:rPr>
        <w:t>1965年7月出生，中国国籍，无境外永久居留权，中共党员，博士，经济学教授，博士生导师。1989年7月至2002年9月，历任合肥第一人民医院办公室副主任、主任；2005年7月至2025年12月，历任安徽大学经济学院教授、博士生导师、经济学系主任，安徽大学学科学位建设办公室副主任、发展规划处副处长、人文社会科学处副处长，学报编辑部主任兼《安徽大学学报（哲社版）》主编。现任安徽大学教授、博士生导师，兼任海螺（安徽）节能环保新材料股份有限公司独立董事。2023年4月至今，任交建股份独立董事。</w:t>
      </w:r>
    </w:p>
    <w:p w14:paraId="20044E0C">
      <w:pPr>
        <w:autoSpaceDE w:val="0"/>
        <w:autoSpaceDN w:val="0"/>
        <w:adjustRightInd w:val="0"/>
        <w:snapToGrid w:val="0"/>
        <w:spacing w:after="156" w:afterLines="50" w:line="360" w:lineRule="auto"/>
        <w:ind w:firstLine="482" w:firstLineChars="200"/>
        <w:textAlignment w:val="baseline"/>
        <w:outlineLvl w:val="1"/>
        <w:rPr>
          <w:rFonts w:hint="eastAsia" w:ascii="宋体" w:hAnsi="宋体"/>
          <w:b/>
          <w:bCs/>
          <w:sz w:val="24"/>
          <w:szCs w:val="24"/>
        </w:rPr>
      </w:pPr>
      <w:r>
        <w:rPr>
          <w:rFonts w:hint="eastAsia" w:ascii="宋体" w:hAnsi="宋体"/>
          <w:b/>
          <w:bCs/>
          <w:sz w:val="24"/>
          <w:szCs w:val="24"/>
        </w:rPr>
        <w:t>（二）独立性情况说明</w:t>
      </w:r>
    </w:p>
    <w:p w14:paraId="6032E678">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作为公司的独立董事，</w:t>
      </w:r>
      <w:r>
        <w:rPr>
          <w:rFonts w:hint="eastAsia" w:ascii="宋体" w:hAnsi="宋体"/>
          <w:sz w:val="24"/>
          <w:szCs w:val="24"/>
        </w:rPr>
        <w:t>本人</w:t>
      </w:r>
      <w:r>
        <w:rPr>
          <w:rFonts w:ascii="宋体" w:hAnsi="宋体"/>
          <w:sz w:val="24"/>
          <w:szCs w:val="24"/>
        </w:rPr>
        <w:t>未在公司担任除独立董事以外的任何职务，也未在公司主要股东公司担任任何职务，与公司以及主要股东之间不存在利害关系或其他可能妨碍其进行独立客观判断的关系。因此，</w:t>
      </w:r>
      <w:r>
        <w:rPr>
          <w:rFonts w:hint="eastAsia" w:ascii="宋体" w:hAnsi="宋体"/>
          <w:sz w:val="24"/>
          <w:szCs w:val="24"/>
        </w:rPr>
        <w:t>本人</w:t>
      </w:r>
      <w:r>
        <w:rPr>
          <w:rFonts w:ascii="宋体" w:hAnsi="宋体"/>
          <w:sz w:val="24"/>
          <w:szCs w:val="24"/>
        </w:rPr>
        <w:t>不存在影响独立董事独立性的情况。</w:t>
      </w:r>
    </w:p>
    <w:p w14:paraId="1BC067B5">
      <w:pPr>
        <w:spacing w:after="156" w:afterLines="50" w:line="360" w:lineRule="auto"/>
        <w:ind w:firstLine="482" w:firstLineChars="200"/>
        <w:outlineLvl w:val="0"/>
        <w:rPr>
          <w:rFonts w:hint="eastAsia" w:ascii="宋体" w:hAnsi="宋体"/>
          <w:b/>
          <w:bCs/>
          <w:sz w:val="24"/>
          <w:szCs w:val="24"/>
        </w:rPr>
      </w:pPr>
      <w:r>
        <w:rPr>
          <w:rFonts w:hint="eastAsia" w:ascii="宋体" w:hAnsi="宋体"/>
          <w:b/>
          <w:bCs/>
          <w:sz w:val="24"/>
          <w:szCs w:val="24"/>
        </w:rPr>
        <w:t>二、独立董事年度履职概况</w:t>
      </w:r>
    </w:p>
    <w:p w14:paraId="3F5743A0">
      <w:pPr>
        <w:widowControl/>
        <w:shd w:val="clear" w:color="auto" w:fill="FFFFFF"/>
        <w:spacing w:after="156" w:afterLines="50" w:line="360" w:lineRule="auto"/>
        <w:ind w:firstLine="482" w:firstLineChars="200"/>
        <w:jc w:val="left"/>
        <w:outlineLvl w:val="1"/>
        <w:rPr>
          <w:rFonts w:hint="eastAsia" w:ascii="宋体" w:hAnsi="宋体"/>
          <w:sz w:val="24"/>
          <w:szCs w:val="24"/>
        </w:rPr>
      </w:pPr>
      <w:r>
        <w:rPr>
          <w:rFonts w:hint="eastAsia" w:ascii="宋体" w:hAnsi="宋体" w:cs="Arial"/>
          <w:b/>
          <w:bCs/>
          <w:kern w:val="0"/>
          <w:sz w:val="24"/>
          <w:szCs w:val="24"/>
        </w:rPr>
        <w:t>（一）出席董事会及</w:t>
      </w:r>
      <w:r>
        <w:rPr>
          <w:rFonts w:hint="eastAsia" w:ascii="宋体" w:hAnsi="宋体" w:cs="Arial"/>
          <w:b/>
          <w:bCs/>
          <w:kern w:val="0"/>
          <w:sz w:val="24"/>
          <w:szCs w:val="24"/>
          <w:lang w:eastAsia="zh-CN"/>
        </w:rPr>
        <w:t>股东会</w:t>
      </w:r>
      <w:r>
        <w:rPr>
          <w:rFonts w:hint="eastAsia" w:ascii="宋体" w:hAnsi="宋体" w:cs="Arial"/>
          <w:b/>
          <w:bCs/>
          <w:kern w:val="0"/>
          <w:sz w:val="24"/>
          <w:szCs w:val="24"/>
        </w:rPr>
        <w:t>的情况</w:t>
      </w:r>
    </w:p>
    <w:p w14:paraId="11CA25CC">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报告期内，公司共召开了</w:t>
      </w:r>
      <w:r>
        <w:rPr>
          <w:rFonts w:hint="eastAsia" w:ascii="宋体" w:hAnsi="宋体"/>
          <w:sz w:val="24"/>
          <w:szCs w:val="24"/>
          <w:lang w:val="en-US" w:eastAsia="zh-CN"/>
        </w:rPr>
        <w:t>7</w:t>
      </w:r>
      <w:r>
        <w:rPr>
          <w:rFonts w:ascii="宋体" w:hAnsi="宋体"/>
          <w:sz w:val="24"/>
          <w:szCs w:val="24"/>
        </w:rPr>
        <w:t>次董事会</w:t>
      </w:r>
      <w:r>
        <w:rPr>
          <w:rFonts w:hint="eastAsia" w:ascii="宋体" w:hAnsi="宋体"/>
          <w:sz w:val="24"/>
          <w:szCs w:val="24"/>
          <w:lang w:val="en-US" w:eastAsia="zh-CN"/>
        </w:rPr>
        <w:t>和2</w:t>
      </w:r>
      <w:r>
        <w:rPr>
          <w:rFonts w:ascii="宋体" w:hAnsi="宋体"/>
          <w:sz w:val="24"/>
          <w:szCs w:val="24"/>
        </w:rPr>
        <w:t>次</w:t>
      </w:r>
      <w:r>
        <w:rPr>
          <w:rFonts w:hint="eastAsia" w:ascii="宋体" w:hAnsi="宋体"/>
          <w:sz w:val="24"/>
          <w:szCs w:val="24"/>
          <w:lang w:eastAsia="zh-CN"/>
        </w:rPr>
        <w:t>股东会</w:t>
      </w:r>
      <w:r>
        <w:rPr>
          <w:rFonts w:hint="eastAsia" w:ascii="宋体" w:hAnsi="宋体"/>
          <w:sz w:val="24"/>
          <w:szCs w:val="24"/>
        </w:rPr>
        <w:t>，本人</w:t>
      </w:r>
      <w:r>
        <w:rPr>
          <w:rFonts w:ascii="宋体" w:hAnsi="宋体"/>
          <w:sz w:val="24"/>
          <w:szCs w:val="24"/>
        </w:rPr>
        <w:t>均以现场或通讯方式</w:t>
      </w:r>
      <w:r>
        <w:rPr>
          <w:rFonts w:hint="eastAsia" w:ascii="宋体" w:hAnsi="宋体"/>
          <w:sz w:val="24"/>
          <w:szCs w:val="24"/>
        </w:rPr>
        <w:t>按时出席参会，</w:t>
      </w:r>
      <w:r>
        <w:rPr>
          <w:rFonts w:ascii="宋体" w:hAnsi="宋体"/>
          <w:sz w:val="24"/>
          <w:szCs w:val="24"/>
        </w:rPr>
        <w:t>不存在缺席和委托出席的情况。本着勤勉尽责的态度，本人会前认真审阅会议材料，必要时与公司董事会秘书以及其他高级管理人员等进行预沟通，就拟审议事项进行询问、补充了解信息等，在会议上明确发表意见，为董事会科学、客观地决策及公司的良性发展起到了积极的作用，切实维护了公司的整体利益。</w:t>
      </w:r>
    </w:p>
    <w:p w14:paraId="1318C054">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hint="eastAsia" w:ascii="宋体" w:hAnsi="宋体" w:cs="Arial"/>
          <w:b/>
          <w:bCs/>
          <w:kern w:val="0"/>
          <w:sz w:val="24"/>
          <w:szCs w:val="24"/>
        </w:rPr>
        <w:t>（二）出席董事会专门委员会情况</w:t>
      </w:r>
    </w:p>
    <w:p w14:paraId="3AB46C6F">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bookmarkStart w:id="1" w:name="_Hlk163398600"/>
      <w:r>
        <w:rPr>
          <w:rFonts w:ascii="宋体" w:hAnsi="宋体"/>
          <w:sz w:val="24"/>
          <w:szCs w:val="24"/>
        </w:rPr>
        <w:t>为积极推动董事会专门委员会工作，强化其专业职能，公司董事会下设审计委员会、战略委员会、提名委员会、薪酬与考核委员会</w:t>
      </w:r>
      <w:r>
        <w:rPr>
          <w:rFonts w:hint="eastAsia" w:ascii="宋体" w:hAnsi="宋体"/>
          <w:sz w:val="24"/>
          <w:szCs w:val="24"/>
        </w:rPr>
        <w:t>，</w:t>
      </w:r>
      <w:r>
        <w:rPr>
          <w:rFonts w:ascii="宋体" w:hAnsi="宋体"/>
          <w:sz w:val="24"/>
          <w:szCs w:val="24"/>
        </w:rPr>
        <w:t>本人为公司董事会</w:t>
      </w:r>
      <w:r>
        <w:rPr>
          <w:rFonts w:hint="eastAsia" w:ascii="宋体" w:hAnsi="宋体"/>
          <w:sz w:val="24"/>
          <w:szCs w:val="24"/>
        </w:rPr>
        <w:t>战略委员会</w:t>
      </w:r>
      <w:r>
        <w:rPr>
          <w:rFonts w:hint="eastAsia" w:ascii="宋体" w:hAnsi="宋体"/>
          <w:sz w:val="24"/>
          <w:szCs w:val="24"/>
          <w:lang w:val="en-US" w:eastAsia="zh-CN"/>
        </w:rPr>
        <w:t>和</w:t>
      </w:r>
      <w:r>
        <w:rPr>
          <w:rFonts w:hint="eastAsia" w:ascii="宋体" w:hAnsi="宋体"/>
          <w:sz w:val="24"/>
          <w:szCs w:val="24"/>
        </w:rPr>
        <w:t>提名</w:t>
      </w:r>
      <w:r>
        <w:rPr>
          <w:rFonts w:ascii="宋体" w:hAnsi="宋体"/>
          <w:sz w:val="24"/>
          <w:szCs w:val="24"/>
        </w:rPr>
        <w:t>委员会</w:t>
      </w:r>
      <w:r>
        <w:rPr>
          <w:rFonts w:hint="eastAsia" w:ascii="宋体" w:hAnsi="宋体"/>
          <w:sz w:val="24"/>
          <w:szCs w:val="24"/>
          <w:lang w:val="en-US" w:eastAsia="zh-CN"/>
        </w:rPr>
        <w:t>委员</w:t>
      </w:r>
      <w:r>
        <w:rPr>
          <w:rFonts w:hint="eastAsia" w:ascii="宋体" w:hAnsi="宋体"/>
          <w:sz w:val="24"/>
          <w:szCs w:val="24"/>
        </w:rPr>
        <w:t>。报告期内，结合公司实际情况，未召开战略委员会</w:t>
      </w:r>
      <w:r>
        <w:rPr>
          <w:rFonts w:hint="eastAsia" w:ascii="宋体" w:hAnsi="宋体"/>
          <w:sz w:val="24"/>
          <w:szCs w:val="24"/>
          <w:lang w:val="en-US" w:eastAsia="zh-CN"/>
        </w:rPr>
        <w:t>和</w:t>
      </w:r>
      <w:r>
        <w:rPr>
          <w:rFonts w:hint="eastAsia" w:ascii="宋体" w:hAnsi="宋体"/>
          <w:sz w:val="24"/>
          <w:szCs w:val="24"/>
        </w:rPr>
        <w:t>提名</w:t>
      </w:r>
      <w:r>
        <w:rPr>
          <w:rFonts w:ascii="宋体" w:hAnsi="宋体"/>
          <w:sz w:val="24"/>
          <w:szCs w:val="24"/>
        </w:rPr>
        <w:t>委员会</w:t>
      </w:r>
      <w:r>
        <w:rPr>
          <w:rFonts w:hint="eastAsia" w:ascii="宋体" w:hAnsi="宋体"/>
          <w:sz w:val="24"/>
          <w:szCs w:val="24"/>
        </w:rPr>
        <w:t>。</w:t>
      </w:r>
      <w:bookmarkStart w:id="5" w:name="_GoBack"/>
      <w:bookmarkEnd w:id="5"/>
    </w:p>
    <w:p w14:paraId="6A02B275">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hint="eastAsia" w:ascii="宋体" w:hAnsi="宋体" w:cs="Arial"/>
          <w:b/>
          <w:bCs/>
          <w:kern w:val="0"/>
          <w:sz w:val="24"/>
          <w:szCs w:val="24"/>
        </w:rPr>
        <w:t>（三）</w:t>
      </w:r>
      <w:r>
        <w:rPr>
          <w:rFonts w:hint="eastAsia" w:asciiTheme="minorEastAsia" w:hAnsiTheme="minorEastAsia"/>
          <w:b/>
          <w:bCs/>
          <w:color w:val="000000" w:themeColor="text1"/>
          <w:sz w:val="24"/>
          <w:szCs w:val="24"/>
        </w:rPr>
        <w:t>出席独立董事专门会议</w:t>
      </w:r>
      <w:r>
        <w:rPr>
          <w:rFonts w:asciiTheme="minorEastAsia" w:hAnsiTheme="minorEastAsia"/>
          <w:b/>
          <w:bCs/>
          <w:color w:val="000000" w:themeColor="text1"/>
          <w:sz w:val="24"/>
          <w:szCs w:val="24"/>
        </w:rPr>
        <w:t>情况</w:t>
      </w:r>
    </w:p>
    <w:p w14:paraId="4D6F0ADE">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202</w:t>
      </w:r>
      <w:r>
        <w:rPr>
          <w:rFonts w:hint="eastAsia" w:ascii="宋体" w:hAnsi="宋体"/>
          <w:sz w:val="24"/>
          <w:szCs w:val="24"/>
          <w:lang w:val="en-US" w:eastAsia="zh-CN"/>
        </w:rPr>
        <w:t>5</w:t>
      </w:r>
      <w:r>
        <w:rPr>
          <w:rFonts w:ascii="宋体" w:hAnsi="宋体"/>
          <w:sz w:val="24"/>
          <w:szCs w:val="24"/>
        </w:rPr>
        <w:t>年度，公司共召开独立董事专门会议</w:t>
      </w:r>
      <w:r>
        <w:rPr>
          <w:rFonts w:hint="eastAsia" w:ascii="宋体" w:hAnsi="宋体"/>
          <w:sz w:val="24"/>
          <w:szCs w:val="24"/>
          <w:highlight w:val="none"/>
          <w:lang w:val="en-US" w:eastAsia="zh-CN"/>
        </w:rPr>
        <w:t>1</w:t>
      </w:r>
      <w:r>
        <w:rPr>
          <w:rFonts w:ascii="宋体" w:hAnsi="宋体"/>
          <w:sz w:val="24"/>
          <w:szCs w:val="24"/>
        </w:rPr>
        <w:t>次，本人亲自出席。本人持续关注公司经营管理情况，严格按照《上市公司独立董事管理办法》的规定，审议涉及关联交易事项，本人对独立董事专门会议审议的各项议案和事项均表示同意，未提出异议、反对或弃权的情形。</w:t>
      </w:r>
    </w:p>
    <w:bookmarkEnd w:id="1"/>
    <w:p w14:paraId="36B0B6E4">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hint="eastAsia" w:ascii="宋体" w:hAnsi="宋体" w:cs="Arial"/>
          <w:b/>
          <w:bCs/>
          <w:kern w:val="0"/>
          <w:sz w:val="24"/>
          <w:szCs w:val="24"/>
        </w:rPr>
        <w:t>（四）与会计师事务所沟通的情况</w:t>
      </w:r>
    </w:p>
    <w:p w14:paraId="4131B514">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202</w:t>
      </w:r>
      <w:r>
        <w:rPr>
          <w:rFonts w:hint="eastAsia" w:ascii="宋体" w:hAnsi="宋体"/>
          <w:sz w:val="24"/>
          <w:szCs w:val="24"/>
          <w:lang w:val="en-US" w:eastAsia="zh-CN"/>
        </w:rPr>
        <w:t>5</w:t>
      </w:r>
      <w:r>
        <w:rPr>
          <w:rFonts w:ascii="宋体" w:hAnsi="宋体"/>
          <w:sz w:val="24"/>
          <w:szCs w:val="24"/>
        </w:rPr>
        <w:t>年度，</w:t>
      </w:r>
      <w:r>
        <w:rPr>
          <w:rFonts w:hint="eastAsia" w:ascii="宋体" w:hAnsi="宋体"/>
          <w:sz w:val="24"/>
          <w:szCs w:val="24"/>
        </w:rPr>
        <w:t>本人积极</w:t>
      </w:r>
      <w:r>
        <w:rPr>
          <w:rFonts w:ascii="宋体" w:hAnsi="宋体"/>
          <w:sz w:val="24"/>
          <w:szCs w:val="24"/>
        </w:rPr>
        <w:t>与会计师事务所进行有效沟通，听取审计工作专题汇报并就定期报告及财务、业务状况进行深度探讨，</w:t>
      </w:r>
      <w:r>
        <w:rPr>
          <w:rFonts w:asciiTheme="minorEastAsia" w:hAnsiTheme="minorEastAsia"/>
          <w:color w:val="000000" w:themeColor="text1"/>
          <w:sz w:val="24"/>
          <w:szCs w:val="24"/>
        </w:rPr>
        <w:t>确保年报信息披露的</w:t>
      </w:r>
      <w:r>
        <w:rPr>
          <w:rFonts w:hint="eastAsia" w:asciiTheme="minorEastAsia" w:hAnsiTheme="minorEastAsia"/>
          <w:color w:val="000000" w:themeColor="text1"/>
          <w:sz w:val="24"/>
          <w:szCs w:val="24"/>
        </w:rPr>
        <w:t>真实性、</w:t>
      </w:r>
      <w:r>
        <w:rPr>
          <w:rFonts w:asciiTheme="minorEastAsia" w:hAnsiTheme="minorEastAsia"/>
          <w:color w:val="000000" w:themeColor="text1"/>
          <w:sz w:val="24"/>
          <w:szCs w:val="24"/>
        </w:rPr>
        <w:t>准确性与完整性。</w:t>
      </w:r>
    </w:p>
    <w:p w14:paraId="25351FB6">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ascii="宋体" w:hAnsi="宋体" w:cs="Arial"/>
          <w:b/>
          <w:bCs/>
          <w:kern w:val="0"/>
          <w:sz w:val="24"/>
          <w:szCs w:val="24"/>
        </w:rPr>
        <w:t>（</w:t>
      </w:r>
      <w:r>
        <w:rPr>
          <w:rFonts w:hint="eastAsia" w:ascii="宋体" w:hAnsi="宋体" w:cs="Arial"/>
          <w:b/>
          <w:bCs/>
          <w:kern w:val="0"/>
          <w:sz w:val="24"/>
          <w:szCs w:val="24"/>
        </w:rPr>
        <w:t>五</w:t>
      </w:r>
      <w:r>
        <w:rPr>
          <w:rFonts w:ascii="宋体" w:hAnsi="宋体" w:cs="Arial"/>
          <w:b/>
          <w:bCs/>
          <w:kern w:val="0"/>
          <w:sz w:val="24"/>
          <w:szCs w:val="24"/>
        </w:rPr>
        <w:t>）</w:t>
      </w:r>
      <w:r>
        <w:rPr>
          <w:rFonts w:hint="eastAsia" w:ascii="宋体" w:hAnsi="宋体" w:cs="Arial"/>
          <w:b/>
          <w:bCs/>
          <w:kern w:val="0"/>
          <w:sz w:val="24"/>
          <w:szCs w:val="24"/>
        </w:rPr>
        <w:t>现场工作情况</w:t>
      </w:r>
    </w:p>
    <w:p w14:paraId="020E50FA">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本人充分利用参加董事会、</w:t>
      </w:r>
      <w:r>
        <w:rPr>
          <w:rFonts w:hint="eastAsia" w:ascii="宋体" w:hAnsi="宋体"/>
          <w:sz w:val="24"/>
          <w:szCs w:val="24"/>
          <w:lang w:eastAsia="zh-CN"/>
        </w:rPr>
        <w:t>股东会</w:t>
      </w:r>
      <w:r>
        <w:rPr>
          <w:rFonts w:hint="eastAsia" w:ascii="宋体" w:hAnsi="宋体"/>
          <w:sz w:val="24"/>
          <w:szCs w:val="24"/>
        </w:rPr>
        <w:t>及</w:t>
      </w:r>
      <w:r>
        <w:rPr>
          <w:rFonts w:ascii="宋体" w:hAnsi="宋体"/>
          <w:sz w:val="24"/>
          <w:szCs w:val="24"/>
        </w:rPr>
        <w:t>实地</w:t>
      </w:r>
      <w:r>
        <w:rPr>
          <w:rFonts w:hint="eastAsia" w:ascii="宋体" w:hAnsi="宋体"/>
          <w:sz w:val="24"/>
          <w:szCs w:val="24"/>
        </w:rPr>
        <w:t>交流</w:t>
      </w:r>
      <w:r>
        <w:rPr>
          <w:rFonts w:ascii="宋体" w:hAnsi="宋体"/>
          <w:sz w:val="24"/>
          <w:szCs w:val="24"/>
        </w:rPr>
        <w:t>等机会，通过现场走访、电话及视频会议等方式与公司董事</w:t>
      </w:r>
      <w:r>
        <w:rPr>
          <w:rFonts w:hint="eastAsia" w:ascii="宋体" w:hAnsi="宋体"/>
          <w:sz w:val="24"/>
          <w:szCs w:val="24"/>
          <w:lang w:eastAsia="zh-CN"/>
        </w:rPr>
        <w:t>、</w:t>
      </w:r>
      <w:r>
        <w:rPr>
          <w:rFonts w:ascii="宋体" w:hAnsi="宋体"/>
          <w:sz w:val="24"/>
          <w:szCs w:val="24"/>
        </w:rPr>
        <w:t>高级管理人员进行交流、沟通，</w:t>
      </w:r>
      <w:r>
        <w:rPr>
          <w:rFonts w:hint="eastAsia" w:ascii="宋体" w:hAnsi="宋体"/>
          <w:sz w:val="24"/>
          <w:szCs w:val="24"/>
        </w:rPr>
        <w:t>及时</w:t>
      </w:r>
      <w:r>
        <w:rPr>
          <w:rFonts w:ascii="宋体" w:hAnsi="宋体"/>
          <w:sz w:val="24"/>
          <w:szCs w:val="24"/>
        </w:rPr>
        <w:t>了解公司的日常经营状态、规范运作情况和可能产生的经营风险，促进公司董事会的科学决策，关注董事会决议的执行情况，内部控制制度的建设、执行情况及重大事项的进展情况，促进公司管理水平提升。</w:t>
      </w:r>
    </w:p>
    <w:p w14:paraId="7A4541B6">
      <w:pPr>
        <w:autoSpaceDE w:val="0"/>
        <w:autoSpaceDN w:val="0"/>
        <w:adjustRightInd w:val="0"/>
        <w:snapToGrid w:val="0"/>
        <w:spacing w:after="156" w:afterLines="50" w:line="360" w:lineRule="auto"/>
        <w:ind w:firstLine="482" w:firstLineChars="200"/>
        <w:textAlignment w:val="baseline"/>
        <w:outlineLvl w:val="1"/>
        <w:rPr>
          <w:rFonts w:hint="eastAsia" w:ascii="宋体" w:hAnsi="宋体"/>
          <w:b/>
          <w:sz w:val="24"/>
          <w:szCs w:val="24"/>
        </w:rPr>
      </w:pPr>
      <w:r>
        <w:rPr>
          <w:rFonts w:hint="eastAsia" w:ascii="宋体" w:hAnsi="宋体"/>
          <w:b/>
          <w:sz w:val="24"/>
          <w:szCs w:val="24"/>
        </w:rPr>
        <w:t>（六）</w:t>
      </w:r>
      <w:bookmarkStart w:id="2" w:name="_Hlk163399156"/>
      <w:r>
        <w:rPr>
          <w:rFonts w:hint="eastAsia" w:ascii="宋体" w:hAnsi="宋体"/>
          <w:b/>
          <w:sz w:val="24"/>
          <w:szCs w:val="24"/>
        </w:rPr>
        <w:t>上市公司配合独立董事工作的情况</w:t>
      </w:r>
      <w:bookmarkEnd w:id="2"/>
    </w:p>
    <w:p w14:paraId="45C05CA0">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在本人履行职责过程中，公司董事会、管理层和相关工作人员给予了积极有效的配合和支持，使本人能够及时了解公司生产经营动态。对本人提出的意见建议，公司积极予以采纳，对要求补充的信息及时进行了补充或解释，为本人工作提供便利条件和支持，保证了本人有效行使职权。</w:t>
      </w:r>
    </w:p>
    <w:p w14:paraId="122878BA">
      <w:pPr>
        <w:spacing w:after="156" w:afterLines="50" w:line="360" w:lineRule="auto"/>
        <w:ind w:firstLine="482" w:firstLineChars="200"/>
        <w:outlineLvl w:val="0"/>
        <w:rPr>
          <w:rFonts w:hint="eastAsia" w:ascii="宋体" w:hAnsi="宋体"/>
          <w:b/>
          <w:bCs/>
          <w:sz w:val="24"/>
          <w:szCs w:val="24"/>
        </w:rPr>
      </w:pPr>
      <w:r>
        <w:rPr>
          <w:rFonts w:hint="eastAsia" w:ascii="宋体" w:hAnsi="宋体"/>
          <w:b/>
          <w:bCs/>
          <w:sz w:val="24"/>
          <w:szCs w:val="24"/>
        </w:rPr>
        <w:t>三、独立董事年度履职重点关注事项的情况</w:t>
      </w:r>
    </w:p>
    <w:p w14:paraId="35AC3B75">
      <w:pPr>
        <w:spacing w:after="156" w:afterLines="50" w:line="360" w:lineRule="auto"/>
        <w:ind w:firstLine="482" w:firstLineChars="200"/>
        <w:outlineLvl w:val="1"/>
        <w:rPr>
          <w:rFonts w:hint="eastAsia" w:ascii="宋体" w:hAnsi="宋体"/>
          <w:b/>
          <w:bCs/>
          <w:sz w:val="24"/>
          <w:szCs w:val="24"/>
        </w:rPr>
      </w:pPr>
      <w:r>
        <w:rPr>
          <w:rFonts w:hint="eastAsia" w:ascii="宋体" w:hAnsi="宋体"/>
          <w:b/>
          <w:bCs/>
          <w:sz w:val="24"/>
          <w:szCs w:val="24"/>
        </w:rPr>
        <w:t>（一）关联交易情况</w:t>
      </w:r>
    </w:p>
    <w:p w14:paraId="3444E286">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公司严格按照</w:t>
      </w:r>
      <w:r>
        <w:rPr>
          <w:rFonts w:hint="eastAsia" w:ascii="宋体" w:hAnsi="宋体"/>
          <w:sz w:val="24"/>
          <w:szCs w:val="24"/>
        </w:rPr>
        <w:t>《公司法》</w:t>
      </w:r>
      <w:r>
        <w:rPr>
          <w:rFonts w:ascii="宋体" w:hAnsi="宋体"/>
          <w:sz w:val="24"/>
          <w:szCs w:val="24"/>
        </w:rPr>
        <w:t>《上海证券交易所股票上市规则》</w:t>
      </w:r>
      <w:r>
        <w:rPr>
          <w:rFonts w:asciiTheme="minorEastAsia" w:hAnsiTheme="minorEastAsia"/>
          <w:color w:val="000000" w:themeColor="text1"/>
          <w:sz w:val="24"/>
          <w:szCs w:val="24"/>
        </w:rPr>
        <w:t>等法律、法规、规范性文件</w:t>
      </w:r>
      <w:r>
        <w:rPr>
          <w:rFonts w:ascii="宋体" w:hAnsi="宋体"/>
          <w:sz w:val="24"/>
          <w:szCs w:val="24"/>
        </w:rPr>
        <w:t>及</w:t>
      </w:r>
      <w:r>
        <w:rPr>
          <w:rFonts w:hint="eastAsia" w:ascii="宋体" w:hAnsi="宋体"/>
          <w:sz w:val="24"/>
          <w:szCs w:val="24"/>
        </w:rPr>
        <w:t>《公司章程》的相关</w:t>
      </w:r>
      <w:r>
        <w:rPr>
          <w:rFonts w:ascii="宋体" w:hAnsi="宋体"/>
          <w:sz w:val="24"/>
          <w:szCs w:val="24"/>
        </w:rPr>
        <w:t>规定实施关联交易。应当披露的关联交易事项均经独立董事</w:t>
      </w:r>
      <w:r>
        <w:rPr>
          <w:rFonts w:hint="eastAsia" w:ascii="宋体" w:hAnsi="宋体"/>
          <w:sz w:val="24"/>
          <w:szCs w:val="24"/>
        </w:rPr>
        <w:t>专门会议审议通过后</w:t>
      </w:r>
      <w:r>
        <w:rPr>
          <w:rFonts w:ascii="宋体" w:hAnsi="宋体"/>
          <w:sz w:val="24"/>
          <w:szCs w:val="24"/>
        </w:rPr>
        <w:t>提交</w:t>
      </w:r>
      <w:r>
        <w:rPr>
          <w:rFonts w:hint="eastAsia" w:ascii="宋体" w:hAnsi="宋体"/>
          <w:sz w:val="24"/>
          <w:szCs w:val="24"/>
        </w:rPr>
        <w:t>公司</w:t>
      </w:r>
      <w:r>
        <w:rPr>
          <w:rFonts w:ascii="宋体" w:hAnsi="宋体"/>
          <w:sz w:val="24"/>
          <w:szCs w:val="24"/>
        </w:rPr>
        <w:t>董事会审议。董事会在审议关联交易时，表决程序均符合有关法律法规的规定，表决程序合法、有效，定价合理、公允，交易公平、公正、公开，符合公司和全体股东的利益，不存在损害公司及股东特别是中小股东利益的情形。</w:t>
      </w:r>
    </w:p>
    <w:p w14:paraId="45FACB5A">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ascii="宋体" w:hAnsi="宋体" w:cs="Arial"/>
          <w:b/>
          <w:bCs/>
          <w:kern w:val="0"/>
          <w:sz w:val="24"/>
          <w:szCs w:val="24"/>
        </w:rPr>
        <w:t>（二）定期报告、内部控制评价报告披露情况</w:t>
      </w:r>
    </w:p>
    <w:p w14:paraId="08AB552C">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报告期内，公司严格依照《公司法》《证券法》《上市公司信息披露管理办法》《上海证券交易所股票上市规则》等相关法律法规及规范性文件的要求，按时编制并披露了《202</w:t>
      </w:r>
      <w:r>
        <w:rPr>
          <w:rFonts w:hint="eastAsia" w:ascii="宋体" w:hAnsi="宋体"/>
          <w:sz w:val="24"/>
          <w:szCs w:val="24"/>
          <w:lang w:val="en-US" w:eastAsia="zh-CN"/>
        </w:rPr>
        <w:t>4</w:t>
      </w:r>
      <w:r>
        <w:rPr>
          <w:rFonts w:ascii="宋体" w:hAnsi="宋体"/>
          <w:sz w:val="24"/>
          <w:szCs w:val="24"/>
        </w:rPr>
        <w:t>年年度报告》《202</w:t>
      </w:r>
      <w:r>
        <w:rPr>
          <w:rFonts w:hint="eastAsia" w:ascii="宋体" w:hAnsi="宋体"/>
          <w:sz w:val="24"/>
          <w:szCs w:val="24"/>
          <w:lang w:val="en-US" w:eastAsia="zh-CN"/>
        </w:rPr>
        <w:t>5</w:t>
      </w:r>
      <w:r>
        <w:rPr>
          <w:rFonts w:ascii="宋体" w:hAnsi="宋体"/>
          <w:sz w:val="24"/>
          <w:szCs w:val="24"/>
        </w:rPr>
        <w:t>年第一季度报告》《202</w:t>
      </w:r>
      <w:r>
        <w:rPr>
          <w:rFonts w:hint="eastAsia" w:ascii="宋体" w:hAnsi="宋体"/>
          <w:sz w:val="24"/>
          <w:szCs w:val="24"/>
          <w:lang w:val="en-US" w:eastAsia="zh-CN"/>
        </w:rPr>
        <w:t>5</w:t>
      </w:r>
      <w:r>
        <w:rPr>
          <w:rFonts w:ascii="宋体" w:hAnsi="宋体"/>
          <w:sz w:val="24"/>
          <w:szCs w:val="24"/>
        </w:rPr>
        <w:t>年半年度报告》《202</w:t>
      </w:r>
      <w:r>
        <w:rPr>
          <w:rFonts w:hint="eastAsia" w:ascii="宋体" w:hAnsi="宋体"/>
          <w:sz w:val="24"/>
          <w:szCs w:val="24"/>
          <w:lang w:val="en-US" w:eastAsia="zh-CN"/>
        </w:rPr>
        <w:t>5</w:t>
      </w:r>
      <w:r>
        <w:rPr>
          <w:rFonts w:ascii="宋体" w:hAnsi="宋体"/>
          <w:sz w:val="24"/>
          <w:szCs w:val="24"/>
        </w:rPr>
        <w:t>年第三季度报告》及《202</w:t>
      </w:r>
      <w:r>
        <w:rPr>
          <w:rFonts w:hint="eastAsia" w:ascii="宋体" w:hAnsi="宋体"/>
          <w:sz w:val="24"/>
          <w:szCs w:val="24"/>
          <w:lang w:val="en-US" w:eastAsia="zh-CN"/>
        </w:rPr>
        <w:t>4</w:t>
      </w:r>
      <w:r>
        <w:rPr>
          <w:rFonts w:ascii="宋体" w:hAnsi="宋体"/>
          <w:sz w:val="24"/>
          <w:szCs w:val="24"/>
        </w:rPr>
        <w:t>年度内部控制评价报告》，披露了相应报告期内的财务数据和重要事项，让投资者充分了解公司经营情况。上述报告均经公司董事会审议通过，其中《202</w:t>
      </w:r>
      <w:r>
        <w:rPr>
          <w:rFonts w:hint="eastAsia" w:ascii="宋体" w:hAnsi="宋体"/>
          <w:sz w:val="24"/>
          <w:szCs w:val="24"/>
          <w:lang w:val="en-US" w:eastAsia="zh-CN"/>
        </w:rPr>
        <w:t>4</w:t>
      </w:r>
      <w:r>
        <w:rPr>
          <w:rFonts w:ascii="宋体" w:hAnsi="宋体"/>
          <w:sz w:val="24"/>
          <w:szCs w:val="24"/>
        </w:rPr>
        <w:t>年年度报告》经公司202</w:t>
      </w:r>
      <w:r>
        <w:rPr>
          <w:rFonts w:hint="eastAsia" w:ascii="宋体" w:hAnsi="宋体"/>
          <w:sz w:val="24"/>
          <w:szCs w:val="24"/>
          <w:lang w:val="en-US" w:eastAsia="zh-CN"/>
        </w:rPr>
        <w:t>4</w:t>
      </w:r>
      <w:r>
        <w:rPr>
          <w:rFonts w:ascii="宋体" w:hAnsi="宋体"/>
          <w:sz w:val="24"/>
          <w:szCs w:val="24"/>
        </w:rPr>
        <w:t>年年度</w:t>
      </w:r>
      <w:r>
        <w:rPr>
          <w:rFonts w:hint="eastAsia" w:ascii="宋体" w:hAnsi="宋体"/>
          <w:sz w:val="24"/>
          <w:szCs w:val="24"/>
          <w:lang w:eastAsia="zh-CN"/>
        </w:rPr>
        <w:t>股东会</w:t>
      </w:r>
      <w:r>
        <w:rPr>
          <w:rFonts w:ascii="宋体" w:hAnsi="宋体"/>
          <w:sz w:val="24"/>
          <w:szCs w:val="24"/>
        </w:rPr>
        <w:t>审议通过，公司董事、高级管理人员均对公司定期报告签署了书面确认意见。公司对定期报告、内部控制评价报告等审议及披露程序合法合规，真实地反映了公司的实际情况。</w:t>
      </w:r>
    </w:p>
    <w:p w14:paraId="6A4D854D">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ascii="宋体" w:hAnsi="宋体" w:cs="Arial"/>
          <w:b/>
          <w:bCs/>
          <w:kern w:val="0"/>
          <w:sz w:val="24"/>
          <w:szCs w:val="24"/>
        </w:rPr>
        <w:t>（三）聘任或者更换会计师事务所情况</w:t>
      </w:r>
    </w:p>
    <w:p w14:paraId="3AFFDBA0">
      <w:pPr>
        <w:widowControl/>
        <w:shd w:val="clear" w:color="auto" w:fill="FFFFFF"/>
        <w:spacing w:after="156" w:afterLines="50" w:line="360" w:lineRule="auto"/>
        <w:ind w:firstLine="480" w:firstLineChars="200"/>
        <w:rPr>
          <w:rFonts w:hint="eastAsia" w:ascii="宋体" w:hAnsi="宋体" w:cs="Arial"/>
          <w:kern w:val="0"/>
          <w:sz w:val="24"/>
          <w:szCs w:val="24"/>
        </w:rPr>
      </w:pPr>
      <w:r>
        <w:rPr>
          <w:rFonts w:ascii="宋体" w:hAnsi="宋体" w:cs="Arial"/>
          <w:kern w:val="0"/>
          <w:sz w:val="24"/>
          <w:szCs w:val="24"/>
        </w:rPr>
        <w:t>报告期内，</w:t>
      </w:r>
      <w:r>
        <w:rPr>
          <w:rFonts w:ascii="宋体" w:hAnsi="宋体"/>
          <w:sz w:val="24"/>
          <w:szCs w:val="24"/>
        </w:rPr>
        <w:t>公司未更换会计师事务所</w:t>
      </w:r>
      <w:r>
        <w:rPr>
          <w:rFonts w:hint="eastAsia" w:ascii="宋体" w:hAnsi="宋体"/>
          <w:sz w:val="24"/>
          <w:szCs w:val="24"/>
        </w:rPr>
        <w:t>，</w:t>
      </w:r>
      <w:r>
        <w:rPr>
          <w:rFonts w:ascii="宋体" w:hAnsi="宋体"/>
          <w:sz w:val="24"/>
          <w:szCs w:val="24"/>
        </w:rPr>
        <w:t>续聘</w:t>
      </w:r>
      <w:r>
        <w:rPr>
          <w:rFonts w:hint="eastAsia" w:ascii="宋体" w:hAnsi="宋体"/>
          <w:sz w:val="24"/>
          <w:szCs w:val="24"/>
        </w:rPr>
        <w:t>容诚</w:t>
      </w:r>
      <w:r>
        <w:rPr>
          <w:rFonts w:ascii="宋体" w:hAnsi="宋体"/>
          <w:sz w:val="24"/>
          <w:szCs w:val="24"/>
        </w:rPr>
        <w:t>会计师事务所（特殊普通合伙）为公司202</w:t>
      </w:r>
      <w:r>
        <w:rPr>
          <w:rFonts w:hint="eastAsia" w:ascii="宋体" w:hAnsi="宋体"/>
          <w:sz w:val="24"/>
          <w:szCs w:val="24"/>
          <w:lang w:val="en-US" w:eastAsia="zh-CN"/>
        </w:rPr>
        <w:t>5</w:t>
      </w:r>
      <w:r>
        <w:rPr>
          <w:rFonts w:ascii="宋体" w:hAnsi="宋体"/>
          <w:sz w:val="24"/>
          <w:szCs w:val="24"/>
        </w:rPr>
        <w:t>年度财务报告和内部控制的审计机构。</w:t>
      </w:r>
      <w:r>
        <w:rPr>
          <w:rFonts w:hint="eastAsia" w:ascii="宋体" w:hAnsi="宋体"/>
          <w:sz w:val="24"/>
          <w:szCs w:val="24"/>
        </w:rPr>
        <w:t>容诚</w:t>
      </w:r>
      <w:r>
        <w:rPr>
          <w:rFonts w:ascii="宋体" w:hAnsi="宋体"/>
          <w:sz w:val="24"/>
          <w:szCs w:val="24"/>
        </w:rPr>
        <w:t>会计师事务所（特殊普通合伙）在执行业务的过程中，严格遵循独立、客观、公正的职业准则，有较好的服务意识、职业操守和专业能力，能够满足公司年度财务及内控审计的工作要求。</w:t>
      </w:r>
    </w:p>
    <w:p w14:paraId="04995E3F">
      <w:pPr>
        <w:autoSpaceDE w:val="0"/>
        <w:autoSpaceDN w:val="0"/>
        <w:adjustRightInd w:val="0"/>
        <w:snapToGrid w:val="0"/>
        <w:spacing w:after="156" w:afterLines="50" w:line="360" w:lineRule="auto"/>
        <w:ind w:firstLine="482" w:firstLineChars="200"/>
        <w:textAlignment w:val="baseline"/>
        <w:rPr>
          <w:rFonts w:hint="eastAsia" w:ascii="宋体" w:hAnsi="宋体"/>
          <w:b/>
          <w:bCs/>
          <w:sz w:val="24"/>
          <w:szCs w:val="24"/>
        </w:rPr>
      </w:pPr>
      <w:r>
        <w:rPr>
          <w:rFonts w:hint="eastAsia" w:ascii="宋体" w:hAnsi="宋体"/>
          <w:b/>
          <w:bCs/>
          <w:sz w:val="24"/>
          <w:szCs w:val="24"/>
        </w:rPr>
        <w:t>（四）对外担保及资金占用情况</w:t>
      </w:r>
    </w:p>
    <w:p w14:paraId="2D222BEE">
      <w:pPr>
        <w:widowControl/>
        <w:shd w:val="clear" w:color="auto" w:fill="FFFFFF"/>
        <w:spacing w:after="156" w:afterLines="50" w:line="360" w:lineRule="auto"/>
        <w:ind w:firstLine="480" w:firstLineChars="200"/>
        <w:rPr>
          <w:rFonts w:hint="eastAsia" w:ascii="宋体" w:hAnsi="宋体" w:cs="Arial"/>
          <w:kern w:val="0"/>
          <w:sz w:val="24"/>
          <w:szCs w:val="24"/>
          <w:highlight w:val="none"/>
        </w:rPr>
      </w:pPr>
      <w:bookmarkStart w:id="3" w:name="_Hlk163400436"/>
      <w:r>
        <w:rPr>
          <w:rFonts w:hint="eastAsia" w:ascii="宋体" w:hAnsi="宋体" w:cs="Arial"/>
          <w:kern w:val="0"/>
          <w:sz w:val="24"/>
          <w:szCs w:val="24"/>
          <w:highlight w:val="none"/>
        </w:rPr>
        <w:t>本人</w:t>
      </w:r>
      <w:r>
        <w:rPr>
          <w:rFonts w:ascii="宋体" w:hAnsi="宋体" w:cs="Arial"/>
          <w:kern w:val="0"/>
          <w:sz w:val="24"/>
          <w:szCs w:val="24"/>
          <w:highlight w:val="none"/>
        </w:rPr>
        <w:t>根据中国证监会《上市公司监管指引第8号——上市公司资金往来、对外担保的监管要求》《上海证券交易所上市公司自律监管指引第1号——规范运作》及其他有关规范性文件要求，本人对公司对外担保及资金占用情况进行了审核。报告期内，</w:t>
      </w:r>
      <w:r>
        <w:rPr>
          <w:rFonts w:hint="eastAsia" w:ascii="宋体" w:hAnsi="宋体" w:cs="Arial"/>
          <w:kern w:val="0"/>
          <w:sz w:val="24"/>
          <w:szCs w:val="24"/>
          <w:highlight w:val="none"/>
        </w:rPr>
        <w:t>公司及其控股子公司不存在为控股股东及其关联方、任何非法人单位或个人提供担保的情况，所进行的担保均系为公司控股子公司提供的担保，无任何形式的其他对外担保事项。公司及其控股子公司未发生逾期担保、涉及诉讼的担保及因担保被判决败诉而应承担损失的情况，不存在损害公司及全体股东利益的情形。</w:t>
      </w:r>
    </w:p>
    <w:p w14:paraId="12FC07BB">
      <w:pPr>
        <w:widowControl/>
        <w:shd w:val="clear" w:color="auto" w:fill="FFFFFF"/>
        <w:spacing w:after="156" w:afterLines="50" w:line="360" w:lineRule="auto"/>
        <w:ind w:firstLine="480" w:firstLineChars="200"/>
        <w:rPr>
          <w:rFonts w:hint="eastAsia" w:ascii="宋体" w:hAnsi="宋体" w:cs="Arial"/>
          <w:kern w:val="0"/>
          <w:sz w:val="24"/>
          <w:szCs w:val="24"/>
          <w:highlight w:val="none"/>
        </w:rPr>
      </w:pPr>
      <w:r>
        <w:rPr>
          <w:rFonts w:hint="eastAsia" w:ascii="宋体" w:hAnsi="宋体" w:cs="Arial"/>
          <w:kern w:val="0"/>
          <w:sz w:val="24"/>
          <w:szCs w:val="24"/>
          <w:highlight w:val="none"/>
        </w:rPr>
        <w:t>报告期内，公司严格遵守了《公司章程》及有关法律法规的规定，</w:t>
      </w:r>
      <w:r>
        <w:rPr>
          <w:rFonts w:ascii="宋体" w:hAnsi="宋体" w:cs="Arial"/>
          <w:kern w:val="0"/>
          <w:sz w:val="24"/>
          <w:szCs w:val="24"/>
          <w:highlight w:val="none"/>
        </w:rPr>
        <w:t>不存在资金被控股股东及其他关联方非经营性占用情况</w:t>
      </w:r>
      <w:r>
        <w:rPr>
          <w:rFonts w:hint="eastAsia" w:ascii="宋体" w:hAnsi="宋体" w:cs="Arial"/>
          <w:kern w:val="0"/>
          <w:sz w:val="24"/>
          <w:szCs w:val="24"/>
          <w:highlight w:val="none"/>
        </w:rPr>
        <w:t>。</w:t>
      </w:r>
    </w:p>
    <w:p w14:paraId="184A65A7">
      <w:pPr>
        <w:widowControl/>
        <w:shd w:val="clear" w:color="auto" w:fill="FFFFFF"/>
        <w:spacing w:after="156" w:afterLines="50" w:line="360" w:lineRule="auto"/>
        <w:ind w:firstLine="482" w:firstLineChars="200"/>
        <w:jc w:val="left"/>
        <w:outlineLvl w:val="1"/>
        <w:rPr>
          <w:rFonts w:hint="eastAsia" w:ascii="宋体" w:hAnsi="宋体" w:cs="Arial"/>
          <w:b/>
          <w:bCs/>
          <w:kern w:val="0"/>
          <w:sz w:val="24"/>
          <w:szCs w:val="24"/>
        </w:rPr>
      </w:pPr>
      <w:r>
        <w:rPr>
          <w:rFonts w:hint="eastAsia" w:ascii="宋体" w:hAnsi="宋体" w:cs="Arial"/>
          <w:b/>
          <w:bCs/>
          <w:kern w:val="0"/>
          <w:sz w:val="24"/>
          <w:szCs w:val="24"/>
        </w:rPr>
        <w:t>（五）</w:t>
      </w:r>
      <w:r>
        <w:rPr>
          <w:rFonts w:ascii="宋体" w:hAnsi="宋体" w:cs="Arial"/>
          <w:b/>
          <w:bCs/>
          <w:kern w:val="0"/>
          <w:sz w:val="24"/>
          <w:szCs w:val="24"/>
        </w:rPr>
        <w:t>现金分红及其他投资者回报情况</w:t>
      </w:r>
    </w:p>
    <w:p w14:paraId="792A7B1A">
      <w:pPr>
        <w:widowControl/>
        <w:shd w:val="clear" w:color="auto" w:fill="FFFFFF"/>
        <w:spacing w:after="156" w:afterLines="50" w:line="360" w:lineRule="auto"/>
        <w:ind w:firstLine="480" w:firstLineChars="200"/>
        <w:rPr>
          <w:rFonts w:hint="eastAsia" w:ascii="宋体" w:hAnsi="宋体" w:cs="Arial"/>
          <w:kern w:val="0"/>
          <w:sz w:val="24"/>
          <w:szCs w:val="24"/>
        </w:rPr>
      </w:pPr>
      <w:r>
        <w:rPr>
          <w:rFonts w:hint="eastAsia" w:ascii="宋体" w:hAnsi="宋体" w:cs="Arial"/>
          <w:kern w:val="0"/>
          <w:sz w:val="24"/>
          <w:szCs w:val="24"/>
        </w:rPr>
        <w:t>经公司第三届董事会第二十次会议及2024年年度</w:t>
      </w:r>
      <w:r>
        <w:rPr>
          <w:rFonts w:hint="eastAsia" w:ascii="宋体" w:hAnsi="宋体" w:cs="Arial"/>
          <w:kern w:val="0"/>
          <w:sz w:val="24"/>
          <w:szCs w:val="24"/>
          <w:lang w:eastAsia="zh-CN"/>
        </w:rPr>
        <w:t>股东会</w:t>
      </w:r>
      <w:r>
        <w:rPr>
          <w:rFonts w:hint="eastAsia" w:ascii="宋体" w:hAnsi="宋体" w:cs="Arial"/>
          <w:kern w:val="0"/>
          <w:sz w:val="24"/>
          <w:szCs w:val="24"/>
        </w:rPr>
        <w:t>审议通过，公司以总股本扣除回购专用证券账户内股份后的612,377,535股为基数，向全体股东每10股派发现金股利人民币0.65元（含税）</w:t>
      </w:r>
      <w:r>
        <w:rPr>
          <w:rFonts w:hint="eastAsia" w:ascii="宋体" w:hAnsi="宋体" w:cs="Arial"/>
          <w:kern w:val="0"/>
          <w:sz w:val="24"/>
          <w:szCs w:val="24"/>
          <w:lang w:eastAsia="zh-CN"/>
        </w:rPr>
        <w:t>，</w:t>
      </w:r>
      <w:r>
        <w:rPr>
          <w:rFonts w:hint="eastAsia" w:ascii="宋体" w:hAnsi="宋体" w:cs="Arial"/>
          <w:kern w:val="0"/>
          <w:sz w:val="24"/>
          <w:szCs w:val="24"/>
        </w:rPr>
        <w:t>派发现金股利总额为39,804,539.78元。</w:t>
      </w:r>
      <w:r>
        <w:rPr>
          <w:rFonts w:ascii="宋体" w:hAnsi="宋体" w:cs="Arial"/>
          <w:kern w:val="0"/>
          <w:sz w:val="24"/>
          <w:szCs w:val="24"/>
        </w:rPr>
        <w:t>本人</w:t>
      </w:r>
      <w:r>
        <w:rPr>
          <w:rFonts w:hint="eastAsia" w:ascii="宋体" w:hAnsi="宋体" w:cs="Arial"/>
          <w:kern w:val="0"/>
          <w:sz w:val="24"/>
          <w:szCs w:val="24"/>
        </w:rPr>
        <w:t>认为公司充分重视对投资者的合理投资回报，利润分配政策保持连续性和稳定性，并兼顾了公司持续、健康发展及全体股东的长远利益；利润分配决策程序规范。</w:t>
      </w:r>
    </w:p>
    <w:bookmarkEnd w:id="3"/>
    <w:p w14:paraId="6DC18090">
      <w:pPr>
        <w:spacing w:after="156" w:afterLines="50" w:line="360" w:lineRule="auto"/>
        <w:ind w:firstLine="482" w:firstLineChars="200"/>
        <w:outlineLvl w:val="1"/>
        <w:rPr>
          <w:rFonts w:hint="eastAsia" w:ascii="宋体" w:hAnsi="宋体"/>
          <w:b/>
          <w:bCs/>
          <w:sz w:val="24"/>
          <w:szCs w:val="24"/>
        </w:rPr>
      </w:pPr>
      <w:bookmarkStart w:id="4" w:name="_Hlk163401245"/>
      <w:r>
        <w:rPr>
          <w:rFonts w:hint="eastAsia" w:ascii="宋体" w:hAnsi="宋体"/>
          <w:b/>
          <w:bCs/>
          <w:sz w:val="24"/>
          <w:szCs w:val="24"/>
        </w:rPr>
        <w:t>（六）内部控制的执行情况</w:t>
      </w:r>
    </w:p>
    <w:bookmarkEnd w:id="4"/>
    <w:p w14:paraId="16009958">
      <w:pPr>
        <w:widowControl/>
        <w:shd w:val="clear" w:color="auto" w:fill="FFFFFF"/>
        <w:spacing w:after="156" w:afterLines="50" w:line="360" w:lineRule="auto"/>
        <w:ind w:firstLine="480" w:firstLineChars="200"/>
        <w:rPr>
          <w:rFonts w:hint="eastAsia" w:ascii="宋体" w:hAnsi="宋体" w:cs="Arial"/>
          <w:kern w:val="0"/>
          <w:sz w:val="24"/>
          <w:szCs w:val="24"/>
        </w:rPr>
      </w:pPr>
      <w:r>
        <w:rPr>
          <w:rFonts w:ascii="宋体" w:hAnsi="宋体" w:cs="Arial"/>
          <w:kern w:val="0"/>
          <w:sz w:val="24"/>
          <w:szCs w:val="24"/>
        </w:rPr>
        <w:t>本人对公司内控制度进行了认真核查，并审阅了公司《202</w:t>
      </w:r>
      <w:r>
        <w:rPr>
          <w:rFonts w:hint="eastAsia" w:ascii="宋体" w:hAnsi="宋体" w:cs="Arial"/>
          <w:kern w:val="0"/>
          <w:sz w:val="24"/>
          <w:szCs w:val="24"/>
          <w:lang w:val="en-US" w:eastAsia="zh-CN"/>
        </w:rPr>
        <w:t>5</w:t>
      </w:r>
      <w:r>
        <w:rPr>
          <w:rFonts w:ascii="宋体" w:hAnsi="宋体" w:cs="Arial"/>
          <w:kern w:val="0"/>
          <w:sz w:val="24"/>
          <w:szCs w:val="24"/>
        </w:rPr>
        <w:t>年度内部控制评价报告》及</w:t>
      </w:r>
      <w:r>
        <w:rPr>
          <w:rFonts w:hint="eastAsia" w:ascii="宋体" w:hAnsi="宋体" w:cs="Arial"/>
          <w:kern w:val="0"/>
          <w:sz w:val="24"/>
          <w:szCs w:val="24"/>
        </w:rPr>
        <w:t>容诚</w:t>
      </w:r>
      <w:r>
        <w:rPr>
          <w:rFonts w:ascii="宋体" w:hAnsi="宋体" w:cs="Arial"/>
          <w:kern w:val="0"/>
          <w:sz w:val="24"/>
          <w:szCs w:val="24"/>
        </w:rPr>
        <w:t>会计师事务所（特殊普通合伙）出具的公司202</w:t>
      </w:r>
      <w:r>
        <w:rPr>
          <w:rFonts w:hint="eastAsia" w:ascii="宋体" w:hAnsi="宋体" w:cs="Arial"/>
          <w:kern w:val="0"/>
          <w:sz w:val="24"/>
          <w:szCs w:val="24"/>
          <w:lang w:val="en-US" w:eastAsia="zh-CN"/>
        </w:rPr>
        <w:t>5</w:t>
      </w:r>
      <w:r>
        <w:rPr>
          <w:rFonts w:ascii="宋体" w:hAnsi="宋体" w:cs="Arial"/>
          <w:kern w:val="0"/>
          <w:sz w:val="24"/>
          <w:szCs w:val="24"/>
        </w:rPr>
        <w:t>年度《内部控制审计报告》。本人认为：公司内部控制评价报告及内部控制审计报告客观、真实地反映了公司内部控制制度的建设及运行情况，公司已基本建立了较为完善的内部控制制度体系，并能得到有效地执行，公司通过内部控制有效地防范了各种风险。</w:t>
      </w:r>
    </w:p>
    <w:p w14:paraId="21B6D676">
      <w:pPr>
        <w:spacing w:after="156" w:afterLines="50" w:line="360" w:lineRule="auto"/>
        <w:ind w:firstLine="482" w:firstLineChars="200"/>
        <w:outlineLvl w:val="1"/>
        <w:rPr>
          <w:rFonts w:hint="eastAsia" w:ascii="宋体" w:hAnsi="宋体"/>
          <w:b/>
          <w:bCs/>
          <w:sz w:val="24"/>
          <w:szCs w:val="24"/>
        </w:rPr>
      </w:pPr>
      <w:r>
        <w:rPr>
          <w:rFonts w:hint="eastAsia" w:ascii="宋体" w:hAnsi="宋体"/>
          <w:b/>
          <w:bCs/>
          <w:sz w:val="24"/>
          <w:szCs w:val="24"/>
        </w:rPr>
        <w:t>（七）募集资金的使用情况</w:t>
      </w:r>
    </w:p>
    <w:p w14:paraId="34D271E5">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hint="eastAsia" w:ascii="宋体" w:hAnsi="宋体"/>
          <w:sz w:val="24"/>
          <w:szCs w:val="24"/>
        </w:rPr>
        <w:t>公司第三届董事会第二十次会议审议通过了《关于公司2024年度募集资金存放与实际使用情况专项报告的议案》。本人作为公司独立董事，认为公司董事会出具的《关于公司2024年度募集资金存放与实际使用情况专项报告的议案</w:t>
      </w:r>
      <w:r>
        <w:rPr>
          <w:rFonts w:hint="eastAsia" w:ascii="宋体" w:hAnsi="宋体"/>
          <w:sz w:val="24"/>
          <w:szCs w:val="24"/>
          <w:lang w:eastAsia="zh-CN"/>
        </w:rPr>
        <w:t>》</w:t>
      </w:r>
      <w:r>
        <w:rPr>
          <w:rFonts w:hint="eastAsia" w:ascii="宋体" w:hAnsi="宋体"/>
          <w:sz w:val="24"/>
          <w:szCs w:val="24"/>
        </w:rPr>
        <w:t>真实、准确、完整的反映公司募集资金存放、使用、管理情况，募集资金使用符合相关规定程序，不存在变相改变募集资金用途的情形，</w:t>
      </w:r>
      <w:r>
        <w:rPr>
          <w:rFonts w:ascii="宋体" w:hAnsi="宋体"/>
          <w:sz w:val="24"/>
          <w:szCs w:val="24"/>
        </w:rPr>
        <w:t>不存在违反相关规定的情况</w:t>
      </w:r>
      <w:r>
        <w:rPr>
          <w:rFonts w:hint="eastAsia" w:ascii="宋体" w:hAnsi="宋体"/>
          <w:sz w:val="24"/>
          <w:szCs w:val="24"/>
        </w:rPr>
        <w:t>。</w:t>
      </w:r>
    </w:p>
    <w:p w14:paraId="171EB76D">
      <w:pPr>
        <w:spacing w:after="156" w:afterLines="50" w:line="360" w:lineRule="auto"/>
        <w:ind w:firstLine="482" w:firstLineChars="200"/>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信息披露的执行情况</w:t>
      </w:r>
    </w:p>
    <w:p w14:paraId="631F27DA">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hint="eastAsia" w:ascii="宋体" w:hAnsi="宋体"/>
          <w:sz w:val="24"/>
          <w:szCs w:val="24"/>
        </w:rPr>
        <w:t>报告期内，</w:t>
      </w:r>
      <w:r>
        <w:rPr>
          <w:rFonts w:ascii="宋体" w:hAnsi="宋体"/>
          <w:sz w:val="24"/>
          <w:szCs w:val="24"/>
        </w:rPr>
        <w:t>本人持续关注公司信息披露工作，认为公司注重提升信息披露管理水平</w:t>
      </w:r>
      <w:r>
        <w:rPr>
          <w:rFonts w:hint="eastAsia" w:ascii="宋体" w:hAnsi="宋体"/>
          <w:sz w:val="24"/>
          <w:szCs w:val="24"/>
        </w:rPr>
        <w:t>，</w:t>
      </w:r>
      <w:r>
        <w:rPr>
          <w:rFonts w:ascii="宋体" w:hAnsi="宋体"/>
          <w:sz w:val="24"/>
          <w:szCs w:val="24"/>
        </w:rPr>
        <w:t>认真履行</w:t>
      </w:r>
      <w:r>
        <w:rPr>
          <w:rFonts w:hint="eastAsia" w:ascii="宋体" w:hAnsi="宋体"/>
          <w:sz w:val="24"/>
          <w:szCs w:val="24"/>
        </w:rPr>
        <w:t>了</w:t>
      </w:r>
      <w:r>
        <w:rPr>
          <w:rFonts w:ascii="宋体" w:hAnsi="宋体"/>
          <w:sz w:val="24"/>
          <w:szCs w:val="24"/>
        </w:rPr>
        <w:t>信息披露管理义务</w:t>
      </w:r>
      <w:r>
        <w:rPr>
          <w:rFonts w:hint="eastAsia" w:ascii="宋体" w:hAnsi="宋体"/>
          <w:sz w:val="24"/>
          <w:szCs w:val="24"/>
        </w:rPr>
        <w:t>，</w:t>
      </w:r>
      <w:r>
        <w:rPr>
          <w:rFonts w:ascii="宋体" w:hAnsi="宋体"/>
          <w:sz w:val="24"/>
          <w:szCs w:val="24"/>
        </w:rPr>
        <w:t>不存在任何虚假记载、误导性陈述或重大遗漏</w:t>
      </w:r>
      <w:r>
        <w:rPr>
          <w:rFonts w:hint="eastAsia" w:ascii="宋体" w:hAnsi="宋体"/>
          <w:sz w:val="24"/>
          <w:szCs w:val="24"/>
        </w:rPr>
        <w:t>，</w:t>
      </w:r>
      <w:r>
        <w:rPr>
          <w:rFonts w:ascii="宋体" w:hAnsi="宋体"/>
          <w:sz w:val="24"/>
          <w:szCs w:val="24"/>
        </w:rPr>
        <w:t>切实提高公司规范运作水平和透明度</w:t>
      </w:r>
      <w:r>
        <w:rPr>
          <w:rFonts w:hint="eastAsia" w:ascii="宋体" w:hAnsi="宋体"/>
          <w:sz w:val="24"/>
          <w:szCs w:val="24"/>
        </w:rPr>
        <w:t>，</w:t>
      </w:r>
      <w:r>
        <w:rPr>
          <w:rFonts w:ascii="宋体" w:hAnsi="宋体"/>
          <w:sz w:val="24"/>
          <w:szCs w:val="24"/>
        </w:rPr>
        <w:t>维护了公司股东的合法权益。</w:t>
      </w:r>
    </w:p>
    <w:p w14:paraId="24103D36">
      <w:pPr>
        <w:spacing w:line="360" w:lineRule="auto"/>
        <w:ind w:firstLine="482" w:firstLineChars="200"/>
        <w:outlineLvl w:val="0"/>
        <w:rPr>
          <w:rFonts w:hint="eastAsia" w:ascii="宋体" w:hAnsi="宋体"/>
          <w:b/>
          <w:bCs/>
          <w:sz w:val="24"/>
          <w:szCs w:val="24"/>
        </w:rPr>
      </w:pPr>
      <w:r>
        <w:rPr>
          <w:rFonts w:hint="eastAsia" w:ascii="宋体" w:hAnsi="宋体"/>
          <w:b/>
          <w:bCs/>
          <w:sz w:val="24"/>
          <w:szCs w:val="24"/>
        </w:rPr>
        <w:t>四、总体评价</w:t>
      </w:r>
    </w:p>
    <w:p w14:paraId="1E08FE96">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r>
        <w:rPr>
          <w:rFonts w:ascii="宋体" w:hAnsi="宋体"/>
          <w:sz w:val="24"/>
          <w:szCs w:val="24"/>
        </w:rPr>
        <w:t>202</w:t>
      </w:r>
      <w:r>
        <w:rPr>
          <w:rFonts w:hint="eastAsia" w:ascii="宋体" w:hAnsi="宋体"/>
          <w:sz w:val="24"/>
          <w:szCs w:val="24"/>
          <w:lang w:val="en-US" w:eastAsia="zh-CN"/>
        </w:rPr>
        <w:t>5</w:t>
      </w:r>
      <w:r>
        <w:rPr>
          <w:rFonts w:ascii="宋体" w:hAnsi="宋体"/>
          <w:sz w:val="24"/>
          <w:szCs w:val="24"/>
        </w:rPr>
        <w:t>年度，作为公司的独立董事，我本着客观、公正、独立的原则，切实履行职责，参与公司重大事项的决策，勤勉尽责，充分发挥独立董事的作用，维护公司的整体利益和广大股东尤其是中小股东的合法权益。</w:t>
      </w:r>
    </w:p>
    <w:p w14:paraId="4E86AF41">
      <w:pPr>
        <w:widowControl/>
        <w:shd w:val="clear" w:color="auto" w:fill="FFFFFF"/>
        <w:spacing w:after="156" w:afterLines="50" w:line="360" w:lineRule="auto"/>
        <w:ind w:firstLine="480" w:firstLineChars="200"/>
        <w:jc w:val="left"/>
        <w:rPr>
          <w:rFonts w:hint="eastAsia" w:ascii="宋体" w:hAnsi="宋体" w:cs="Arial"/>
          <w:kern w:val="0"/>
          <w:sz w:val="24"/>
          <w:szCs w:val="24"/>
        </w:rPr>
      </w:pPr>
      <w:r>
        <w:rPr>
          <w:rFonts w:ascii="宋体" w:hAnsi="宋体" w:cs="Arial"/>
          <w:kern w:val="0"/>
          <w:sz w:val="24"/>
          <w:szCs w:val="24"/>
        </w:rPr>
        <w:t>202</w:t>
      </w:r>
      <w:r>
        <w:rPr>
          <w:rFonts w:hint="eastAsia" w:ascii="宋体" w:hAnsi="宋体" w:cs="Arial"/>
          <w:kern w:val="0"/>
          <w:sz w:val="24"/>
          <w:szCs w:val="24"/>
          <w:lang w:val="en-US" w:eastAsia="zh-CN"/>
        </w:rPr>
        <w:t>6</w:t>
      </w:r>
      <w:r>
        <w:rPr>
          <w:rFonts w:ascii="宋体" w:hAnsi="宋体" w:cs="Arial"/>
          <w:kern w:val="0"/>
          <w:sz w:val="24"/>
          <w:szCs w:val="24"/>
        </w:rPr>
        <w:t>年，</w:t>
      </w:r>
      <w:r>
        <w:rPr>
          <w:rFonts w:hint="eastAsia" w:ascii="宋体" w:hAnsi="宋体" w:cs="Arial"/>
          <w:kern w:val="0"/>
          <w:sz w:val="24"/>
          <w:szCs w:val="24"/>
        </w:rPr>
        <w:t>本人</w:t>
      </w:r>
      <w:r>
        <w:rPr>
          <w:rFonts w:ascii="宋体" w:hAnsi="宋体" w:cs="Arial"/>
          <w:kern w:val="0"/>
          <w:sz w:val="24"/>
          <w:szCs w:val="24"/>
        </w:rPr>
        <w:t>将</w:t>
      </w:r>
      <w:r>
        <w:rPr>
          <w:rFonts w:hint="eastAsia" w:ascii="宋体" w:hAnsi="宋体" w:cs="Arial"/>
          <w:kern w:val="0"/>
          <w:sz w:val="24"/>
          <w:szCs w:val="24"/>
        </w:rPr>
        <w:t>继续</w:t>
      </w:r>
      <w:r>
        <w:rPr>
          <w:rFonts w:ascii="宋体" w:hAnsi="宋体" w:cs="Arial"/>
          <w:kern w:val="0"/>
          <w:sz w:val="24"/>
          <w:szCs w:val="24"/>
        </w:rPr>
        <w:t>严格按照法律法规的规定和要求，不断学习法律法规以及中国证监会和上海证券交易所的各项规定，加强与公司董事及高级管理人员的沟通交流，</w:t>
      </w:r>
      <w:r>
        <w:rPr>
          <w:rFonts w:hint="eastAsia" w:ascii="宋体" w:hAnsi="宋体" w:cs="Arial"/>
          <w:kern w:val="0"/>
          <w:sz w:val="24"/>
          <w:szCs w:val="24"/>
        </w:rPr>
        <w:t>及时了解</w:t>
      </w:r>
      <w:r>
        <w:rPr>
          <w:rFonts w:ascii="宋体" w:hAnsi="宋体" w:cs="Arial"/>
          <w:kern w:val="0"/>
          <w:sz w:val="24"/>
          <w:szCs w:val="24"/>
        </w:rPr>
        <w:t>公司日常</w:t>
      </w:r>
      <w:r>
        <w:rPr>
          <w:rFonts w:hint="eastAsia" w:ascii="宋体" w:hAnsi="宋体" w:cs="Arial"/>
          <w:kern w:val="0"/>
          <w:sz w:val="24"/>
          <w:szCs w:val="24"/>
        </w:rPr>
        <w:t>生产</w:t>
      </w:r>
      <w:r>
        <w:rPr>
          <w:rFonts w:ascii="宋体" w:hAnsi="宋体" w:cs="Arial"/>
          <w:kern w:val="0"/>
          <w:sz w:val="24"/>
          <w:szCs w:val="24"/>
        </w:rPr>
        <w:t>经营情况，充分利用自身的</w:t>
      </w:r>
      <w:r>
        <w:rPr>
          <w:rFonts w:hint="eastAsia" w:ascii="宋体" w:hAnsi="宋体" w:cs="Arial"/>
          <w:kern w:val="0"/>
          <w:sz w:val="24"/>
          <w:szCs w:val="24"/>
        </w:rPr>
        <w:t>专业</w:t>
      </w:r>
      <w:r>
        <w:rPr>
          <w:rFonts w:ascii="宋体" w:hAnsi="宋体" w:cs="Arial"/>
          <w:kern w:val="0"/>
          <w:sz w:val="24"/>
          <w:szCs w:val="24"/>
        </w:rPr>
        <w:t>知识</w:t>
      </w:r>
      <w:r>
        <w:rPr>
          <w:rFonts w:hint="eastAsia" w:ascii="宋体" w:hAnsi="宋体" w:cs="Arial"/>
          <w:kern w:val="0"/>
          <w:sz w:val="24"/>
          <w:szCs w:val="24"/>
        </w:rPr>
        <w:t>和经验</w:t>
      </w:r>
      <w:r>
        <w:rPr>
          <w:rFonts w:ascii="宋体" w:hAnsi="宋体" w:cs="Arial"/>
          <w:kern w:val="0"/>
          <w:sz w:val="24"/>
          <w:szCs w:val="24"/>
        </w:rPr>
        <w:t>为公司发展提供更多建设性的意见，促进公司规范运作，维护公司和全体股东的合法权益。</w:t>
      </w:r>
    </w:p>
    <w:p w14:paraId="6B7BD468">
      <w:pPr>
        <w:autoSpaceDE w:val="0"/>
        <w:autoSpaceDN w:val="0"/>
        <w:adjustRightInd w:val="0"/>
        <w:snapToGrid w:val="0"/>
        <w:spacing w:after="156" w:afterLines="50" w:line="360" w:lineRule="auto"/>
        <w:ind w:firstLine="480" w:firstLineChars="200"/>
        <w:textAlignment w:val="baseline"/>
        <w:rPr>
          <w:rFonts w:hint="eastAsia" w:ascii="宋体" w:hAnsi="宋体"/>
          <w:sz w:val="24"/>
          <w:szCs w:val="24"/>
        </w:rPr>
      </w:pPr>
    </w:p>
    <w:p w14:paraId="08909C76">
      <w:pPr>
        <w:snapToGrid w:val="0"/>
        <w:spacing w:line="360" w:lineRule="auto"/>
        <w:jc w:val="right"/>
        <w:rPr>
          <w:rFonts w:hint="eastAsia" w:ascii="宋体" w:hAnsi="宋体"/>
          <w:sz w:val="24"/>
          <w:szCs w:val="24"/>
        </w:rPr>
      </w:pPr>
      <w:r>
        <w:rPr>
          <w:rFonts w:hint="eastAsia" w:ascii="宋体" w:hAnsi="宋体"/>
          <w:sz w:val="24"/>
          <w:szCs w:val="24"/>
        </w:rPr>
        <w:t xml:space="preserve">                                独立董事：张治栋 </w:t>
      </w:r>
    </w:p>
    <w:p w14:paraId="08BD834D">
      <w:pPr>
        <w:snapToGrid w:val="0"/>
        <w:spacing w:line="360" w:lineRule="auto"/>
        <w:jc w:val="right"/>
        <w:rPr>
          <w:rFonts w:hint="eastAsia" w:ascii="宋体" w:hAnsi="宋体"/>
          <w:b/>
          <w:kern w:val="0"/>
          <w:sz w:val="24"/>
          <w:szCs w:val="24"/>
        </w:rPr>
      </w:pPr>
      <w:r>
        <w:rPr>
          <w:rFonts w:hint="eastAsia" w:ascii="宋体" w:hAnsi="宋体"/>
          <w:sz w:val="24"/>
          <w:szCs w:val="24"/>
        </w:rPr>
        <w:t>202</w:t>
      </w:r>
      <w:r>
        <w:rPr>
          <w:rFonts w:hint="eastAsia" w:ascii="宋体" w:hAnsi="宋体"/>
          <w:sz w:val="24"/>
          <w:szCs w:val="24"/>
          <w:lang w:val="en-US" w:eastAsia="zh-CN"/>
        </w:rPr>
        <w:t>6</w:t>
      </w:r>
      <w:r>
        <w:rPr>
          <w:rFonts w:hint="eastAsia" w:ascii="宋体" w:hAnsi="宋体"/>
          <w:sz w:val="24"/>
          <w:szCs w:val="24"/>
        </w:rPr>
        <w:t>年4月2</w:t>
      </w:r>
      <w:r>
        <w:rPr>
          <w:rFonts w:hint="eastAsia" w:ascii="宋体" w:hAnsi="宋体"/>
          <w:sz w:val="24"/>
          <w:szCs w:val="24"/>
          <w:lang w:val="en-US" w:eastAsia="zh-CN"/>
        </w:rPr>
        <w:t>6</w:t>
      </w:r>
      <w:r>
        <w:rPr>
          <w:rFonts w:hint="eastAsia" w:ascii="宋体" w:hAnsi="宋体"/>
          <w:sz w:val="24"/>
          <w:szCs w:val="24"/>
        </w:rPr>
        <w:t xml:space="preserve">日 </w:t>
      </w:r>
      <w:r>
        <w:rPr>
          <w:rFonts w:ascii="宋体" w:hAnsi="宋体"/>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A80009"/>
    <w:rsid w:val="00045550"/>
    <w:rsid w:val="00053605"/>
    <w:rsid w:val="000746CA"/>
    <w:rsid w:val="000B093F"/>
    <w:rsid w:val="000B62AC"/>
    <w:rsid w:val="000D735E"/>
    <w:rsid w:val="001112EB"/>
    <w:rsid w:val="00196661"/>
    <w:rsid w:val="001A31A8"/>
    <w:rsid w:val="001C70DA"/>
    <w:rsid w:val="001F368B"/>
    <w:rsid w:val="0025130C"/>
    <w:rsid w:val="00264CE7"/>
    <w:rsid w:val="002743EF"/>
    <w:rsid w:val="00280824"/>
    <w:rsid w:val="002A62A3"/>
    <w:rsid w:val="002B3156"/>
    <w:rsid w:val="002B376C"/>
    <w:rsid w:val="0030550C"/>
    <w:rsid w:val="003208FD"/>
    <w:rsid w:val="00322B58"/>
    <w:rsid w:val="00353805"/>
    <w:rsid w:val="00357794"/>
    <w:rsid w:val="00362656"/>
    <w:rsid w:val="003A2110"/>
    <w:rsid w:val="003C7DD7"/>
    <w:rsid w:val="003F49A9"/>
    <w:rsid w:val="00404683"/>
    <w:rsid w:val="00462DB0"/>
    <w:rsid w:val="004710A1"/>
    <w:rsid w:val="00477133"/>
    <w:rsid w:val="00477CC1"/>
    <w:rsid w:val="00491E7E"/>
    <w:rsid w:val="004B50DE"/>
    <w:rsid w:val="004F5131"/>
    <w:rsid w:val="004F5D80"/>
    <w:rsid w:val="00521B32"/>
    <w:rsid w:val="00556E07"/>
    <w:rsid w:val="00561503"/>
    <w:rsid w:val="00562623"/>
    <w:rsid w:val="00577F35"/>
    <w:rsid w:val="00596E68"/>
    <w:rsid w:val="005B7211"/>
    <w:rsid w:val="005F264A"/>
    <w:rsid w:val="005F72E9"/>
    <w:rsid w:val="00610765"/>
    <w:rsid w:val="00613275"/>
    <w:rsid w:val="0063360F"/>
    <w:rsid w:val="006875D5"/>
    <w:rsid w:val="00691C66"/>
    <w:rsid w:val="006A6FC2"/>
    <w:rsid w:val="006E167C"/>
    <w:rsid w:val="0071727A"/>
    <w:rsid w:val="00723340"/>
    <w:rsid w:val="00754FC7"/>
    <w:rsid w:val="00756779"/>
    <w:rsid w:val="00760FD8"/>
    <w:rsid w:val="00767C42"/>
    <w:rsid w:val="007A4A59"/>
    <w:rsid w:val="007B0CDC"/>
    <w:rsid w:val="007D6FEE"/>
    <w:rsid w:val="00810897"/>
    <w:rsid w:val="0082248E"/>
    <w:rsid w:val="00824977"/>
    <w:rsid w:val="0086793F"/>
    <w:rsid w:val="008D77D0"/>
    <w:rsid w:val="008E309F"/>
    <w:rsid w:val="00903429"/>
    <w:rsid w:val="009120BE"/>
    <w:rsid w:val="00987CE0"/>
    <w:rsid w:val="009F552A"/>
    <w:rsid w:val="00A128B6"/>
    <w:rsid w:val="00A16D7C"/>
    <w:rsid w:val="00A2593D"/>
    <w:rsid w:val="00A37FFE"/>
    <w:rsid w:val="00A4618E"/>
    <w:rsid w:val="00A61B94"/>
    <w:rsid w:val="00A80009"/>
    <w:rsid w:val="00A92687"/>
    <w:rsid w:val="00AB30C0"/>
    <w:rsid w:val="00AB382E"/>
    <w:rsid w:val="00AD2FF5"/>
    <w:rsid w:val="00AF22ED"/>
    <w:rsid w:val="00AF341D"/>
    <w:rsid w:val="00B05F44"/>
    <w:rsid w:val="00B06EBA"/>
    <w:rsid w:val="00B16738"/>
    <w:rsid w:val="00B20989"/>
    <w:rsid w:val="00B83D23"/>
    <w:rsid w:val="00C100D5"/>
    <w:rsid w:val="00C135FE"/>
    <w:rsid w:val="00C30DCA"/>
    <w:rsid w:val="00C3527E"/>
    <w:rsid w:val="00C977A8"/>
    <w:rsid w:val="00CE5679"/>
    <w:rsid w:val="00CF76C6"/>
    <w:rsid w:val="00D82DAC"/>
    <w:rsid w:val="00D8323D"/>
    <w:rsid w:val="00D86246"/>
    <w:rsid w:val="00DC14F6"/>
    <w:rsid w:val="00E05C43"/>
    <w:rsid w:val="00E548F6"/>
    <w:rsid w:val="00E6549E"/>
    <w:rsid w:val="00E8117B"/>
    <w:rsid w:val="00E81E2D"/>
    <w:rsid w:val="00E9025B"/>
    <w:rsid w:val="00EB05F7"/>
    <w:rsid w:val="00EC4DD1"/>
    <w:rsid w:val="00EC57FE"/>
    <w:rsid w:val="00ED024F"/>
    <w:rsid w:val="00EE17E9"/>
    <w:rsid w:val="00EE7640"/>
    <w:rsid w:val="00EF156F"/>
    <w:rsid w:val="00F02C45"/>
    <w:rsid w:val="00F1340D"/>
    <w:rsid w:val="00F16CD1"/>
    <w:rsid w:val="00F724D9"/>
    <w:rsid w:val="00F815C4"/>
    <w:rsid w:val="00FB1D3F"/>
    <w:rsid w:val="00FB5BF7"/>
    <w:rsid w:val="00FF7D35"/>
    <w:rsid w:val="130A100F"/>
    <w:rsid w:val="1E094C51"/>
    <w:rsid w:val="2F6D0F19"/>
    <w:rsid w:val="48621D83"/>
    <w:rsid w:val="51A4787B"/>
    <w:rsid w:val="6D55636A"/>
    <w:rsid w:val="6F654A8B"/>
    <w:rsid w:val="7C3860FC"/>
    <w:rsid w:val="7CB67310"/>
    <w:rsid w:val="7EAD7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2"/>
    <w:semiHidden/>
    <w:unhideWhenUsed/>
    <w:qFormat/>
    <w:uiPriority w:val="99"/>
    <w:rPr>
      <w:b/>
      <w:bCs/>
    </w:rPr>
  </w:style>
  <w:style w:type="character" w:styleId="8">
    <w:name w:val="annotation reference"/>
    <w:basedOn w:val="7"/>
    <w:semiHidden/>
    <w:unhideWhenUsed/>
    <w:qFormat/>
    <w:uiPriority w:val="99"/>
    <w:rPr>
      <w:sz w:val="21"/>
      <w:szCs w:val="21"/>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文字 字符"/>
    <w:basedOn w:val="7"/>
    <w:link w:val="2"/>
    <w:semiHidden/>
    <w:qFormat/>
    <w:uiPriority w:val="99"/>
    <w:rPr>
      <w:rFonts w:ascii="Times New Roman" w:hAnsi="Times New Roman" w:eastAsia="宋体" w:cs="Times New Roman"/>
    </w:rPr>
  </w:style>
  <w:style w:type="character" w:customStyle="1" w:styleId="12">
    <w:name w:val="批注主题 字符"/>
    <w:basedOn w:val="11"/>
    <w:link w:val="5"/>
    <w:semiHidden/>
    <w:qFormat/>
    <w:uiPriority w:val="99"/>
    <w:rPr>
      <w:rFonts w:ascii="Times New Roman" w:hAnsi="Times New Roman" w:eastAsia="宋体" w:cs="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3427</Words>
  <Characters>3533</Characters>
  <Lines>68</Lines>
  <Paragraphs>45</Paragraphs>
  <TotalTime>2</TotalTime>
  <ScaleCrop>false</ScaleCrop>
  <LinksUpToDate>false</LinksUpToDate>
  <CharactersWithSpaces>3569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2024-04-08T05:42:00Z</dcterms:created>
  <dc:creator>大伟 孙</dc:creator>
  <cp:lastModifiedBy>夏阿花</cp:lastModifiedBy>
  <cp:lastPrinted>2024-04-13T08:31:00Z</cp:lastPrinted>
  <dcterms:modified xsi:type="dcterms:W3CDTF">2026-04-19T04:55:00Z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2052-12.1.0.25225</vt:lpwstr>
  </property>
  <property fmtid="{D5CDD505-2E9C-101B-9397-08002B2CF9AE}" pid="4" name="ICV">
    <vt:lpwstr>91D17668BBAD4994A57AF26672795455_12</vt:lpwstr>
  </property>
</Properties>
</file>