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421B1">
      <w:pPr>
        <w:snapToGrid w:val="0"/>
        <w:ind w:left="1838" w:leftChars="19" w:hanging="1798" w:hangingChars="597"/>
        <w:jc w:val="center"/>
        <w:rPr>
          <w:rFonts w:hint="eastAsia" w:ascii="黑体" w:hAnsi="黑体" w:eastAsia="黑体" w:cs="楷体"/>
          <w:b/>
          <w:sz w:val="30"/>
          <w:szCs w:val="30"/>
        </w:rPr>
      </w:pPr>
      <w:r>
        <w:rPr>
          <w:rFonts w:hint="eastAsia" w:ascii="黑体" w:hAnsi="黑体" w:eastAsia="黑体" w:cs="楷体"/>
          <w:b/>
          <w:sz w:val="30"/>
          <w:szCs w:val="30"/>
        </w:rPr>
        <w:t>安徽省交通建设股份有限公司</w:t>
      </w:r>
    </w:p>
    <w:p w14:paraId="33653BC2">
      <w:pPr>
        <w:snapToGrid w:val="0"/>
        <w:ind w:left="1838" w:leftChars="19" w:hanging="1798" w:hangingChars="597"/>
        <w:jc w:val="center"/>
        <w:rPr>
          <w:rFonts w:hint="eastAsia" w:ascii="黑体" w:hAnsi="黑体" w:eastAsia="黑体" w:cs="楷体"/>
          <w:b/>
          <w:sz w:val="30"/>
          <w:szCs w:val="30"/>
        </w:rPr>
      </w:pPr>
    </w:p>
    <w:p w14:paraId="5CB4807F">
      <w:pPr>
        <w:snapToGrid w:val="0"/>
        <w:ind w:left="1838" w:leftChars="19" w:hanging="1798" w:hangingChars="597"/>
        <w:jc w:val="center"/>
        <w:rPr>
          <w:rFonts w:hint="eastAsia" w:ascii="黑体" w:hAnsi="黑体" w:eastAsia="黑体" w:cs="楷体"/>
          <w:b/>
          <w:sz w:val="30"/>
          <w:szCs w:val="30"/>
        </w:rPr>
      </w:pPr>
      <w:r>
        <w:rPr>
          <w:rFonts w:hint="eastAsia" w:ascii="黑体" w:hAnsi="黑体" w:eastAsia="黑体" w:cs="楷体"/>
          <w:b/>
          <w:sz w:val="30"/>
          <w:szCs w:val="30"/>
        </w:rPr>
        <w:t>董事、高级管理人员薪酬管理制度</w:t>
      </w:r>
    </w:p>
    <w:p w14:paraId="1F74EF51">
      <w:pPr>
        <w:snapToGrid w:val="0"/>
        <w:ind w:left="1838" w:leftChars="19" w:hanging="1798" w:hangingChars="597"/>
        <w:jc w:val="center"/>
        <w:rPr>
          <w:rFonts w:hint="eastAsia" w:ascii="宋体" w:hAnsi="宋体" w:cs="楷体"/>
          <w:b/>
          <w:sz w:val="30"/>
          <w:szCs w:val="30"/>
        </w:rPr>
      </w:pPr>
    </w:p>
    <w:p w14:paraId="13B27C47">
      <w:pPr>
        <w:numPr>
          <w:ilvl w:val="0"/>
          <w:numId w:val="1"/>
        </w:numPr>
        <w:tabs>
          <w:tab w:val="left" w:pos="840"/>
        </w:tabs>
        <w:adjustRightInd w:val="0"/>
        <w:snapToGrid w:val="0"/>
        <w:ind w:left="0" w:firstLine="0"/>
        <w:jc w:val="center"/>
        <w:rPr>
          <w:rFonts w:hint="eastAsia" w:ascii="宋体" w:hAnsi="宋体" w:cs="楷体"/>
          <w:b/>
          <w:color w:val="000000"/>
          <w:kern w:val="0"/>
          <w:sz w:val="24"/>
          <w:szCs w:val="24"/>
        </w:rPr>
      </w:pPr>
      <w:r>
        <w:rPr>
          <w:rFonts w:hint="eastAsia" w:ascii="宋体" w:hAnsi="宋体" w:cs="楷体"/>
          <w:b/>
          <w:color w:val="000000"/>
          <w:kern w:val="0"/>
          <w:sz w:val="24"/>
          <w:szCs w:val="24"/>
        </w:rPr>
        <w:t xml:space="preserve"> 总则</w:t>
      </w:r>
    </w:p>
    <w:p w14:paraId="41567819">
      <w:pPr>
        <w:adjustRightInd w:val="0"/>
        <w:snapToGrid w:val="0"/>
        <w:rPr>
          <w:rFonts w:hint="eastAsia" w:ascii="宋体" w:hAnsi="宋体" w:cs="楷体"/>
          <w:b/>
          <w:color w:val="000000"/>
          <w:kern w:val="0"/>
          <w:sz w:val="24"/>
          <w:szCs w:val="24"/>
        </w:rPr>
      </w:pPr>
    </w:p>
    <w:p w14:paraId="2D4A3BCA">
      <w:pPr>
        <w:numPr>
          <w:ilvl w:val="1"/>
          <w:numId w:val="2"/>
        </w:numPr>
        <w:adjustRightInd w:val="0"/>
        <w:ind w:left="840" w:hanging="840" w:hangingChars="350"/>
        <w:rPr>
          <w:rFonts w:hint="eastAsia" w:ascii="宋体" w:hAnsi="宋体" w:cs="楷体"/>
          <w:color w:val="000000"/>
          <w:kern w:val="0"/>
          <w:sz w:val="24"/>
          <w:szCs w:val="24"/>
          <w:highlight w:val="none"/>
        </w:rPr>
      </w:pPr>
      <w:bookmarkStart w:id="0" w:name="_Hlk128559612"/>
      <w:r>
        <w:rPr>
          <w:rFonts w:hint="eastAsia" w:ascii="宋体" w:hAnsi="宋体" w:cs="楷体"/>
          <w:color w:val="000000"/>
          <w:kern w:val="0"/>
          <w:sz w:val="24"/>
          <w:szCs w:val="24"/>
        </w:rPr>
        <w:t xml:space="preserve"> </w:t>
      </w:r>
      <w:bookmarkEnd w:id="0"/>
      <w:r>
        <w:rPr>
          <w:rFonts w:hint="eastAsia" w:ascii="宋体" w:hAnsi="宋体" w:cs="楷体"/>
          <w:color w:val="000000"/>
          <w:kern w:val="0"/>
          <w:sz w:val="24"/>
          <w:szCs w:val="24"/>
        </w:rPr>
        <w:t>为进一步完善安徽省交通建设股份</w:t>
      </w:r>
      <w:r>
        <w:rPr>
          <w:rFonts w:hint="eastAsia" w:ascii="宋体" w:hAnsi="宋体" w:cs="楷体"/>
          <w:color w:val="000000"/>
          <w:kern w:val="0"/>
          <w:sz w:val="24"/>
          <w:szCs w:val="24"/>
          <w:lang w:eastAsia="zh-CN"/>
        </w:rPr>
        <w:t>有限公司（以下</w:t>
      </w:r>
      <w:r>
        <w:rPr>
          <w:rFonts w:hint="eastAsia" w:ascii="宋体" w:hAnsi="宋体" w:cs="楷体"/>
          <w:color w:val="000000"/>
          <w:kern w:val="0"/>
          <w:sz w:val="24"/>
          <w:szCs w:val="24"/>
        </w:rPr>
        <w:t>称“公司”）董事、高级管理人员的薪酬管理，建立科学有效的激励约束机制，提高公司经</w:t>
      </w:r>
      <w:r>
        <w:rPr>
          <w:rFonts w:hint="eastAsia" w:ascii="宋体" w:hAnsi="宋体" w:cs="楷体"/>
          <w:color w:val="000000"/>
          <w:kern w:val="0"/>
          <w:sz w:val="24"/>
          <w:szCs w:val="24"/>
          <w:highlight w:val="none"/>
        </w:rPr>
        <w:t>营管理水平。根据《中华人民共和国公司法》</w:t>
      </w:r>
      <w:r>
        <w:rPr>
          <w:rFonts w:hint="eastAsia" w:ascii="宋体" w:hAnsi="宋体" w:cs="楷体"/>
          <w:color w:val="000000"/>
          <w:kern w:val="0"/>
          <w:sz w:val="24"/>
          <w:szCs w:val="24"/>
          <w:highlight w:val="none"/>
          <w:lang w:eastAsia="zh-CN"/>
        </w:rPr>
        <w:t>《安徽省交通建设股份有限公司章程》（以下简称《公司章程》）</w:t>
      </w:r>
      <w:r>
        <w:rPr>
          <w:rFonts w:hint="eastAsia" w:ascii="宋体" w:hAnsi="宋体" w:cs="楷体"/>
          <w:color w:val="000000"/>
          <w:kern w:val="0"/>
          <w:sz w:val="24"/>
          <w:szCs w:val="24"/>
          <w:highlight w:val="none"/>
        </w:rPr>
        <w:t>及其他有关规定，结合公司实际情况，</w:t>
      </w:r>
      <w:r>
        <w:rPr>
          <w:rFonts w:hint="eastAsia" w:ascii="宋体" w:hAnsi="宋体" w:cs="楷体"/>
          <w:color w:val="000000"/>
          <w:kern w:val="0"/>
          <w:sz w:val="24"/>
          <w:szCs w:val="24"/>
          <w:highlight w:val="none"/>
          <w:lang w:eastAsia="zh-CN"/>
        </w:rPr>
        <w:t>制定</w:t>
      </w:r>
      <w:r>
        <w:rPr>
          <w:rFonts w:hint="eastAsia" w:ascii="宋体" w:hAnsi="宋体" w:cs="楷体"/>
          <w:color w:val="000000"/>
          <w:kern w:val="0"/>
          <w:sz w:val="24"/>
          <w:szCs w:val="24"/>
          <w:highlight w:val="none"/>
        </w:rPr>
        <w:t>本制度。</w:t>
      </w:r>
    </w:p>
    <w:p w14:paraId="13E46CA8">
      <w:pPr>
        <w:adjustRightInd w:val="0"/>
        <w:ind w:left="840" w:hanging="840" w:hangingChars="350"/>
        <w:rPr>
          <w:rFonts w:hint="eastAsia" w:ascii="宋体" w:hAnsi="宋体" w:cs="楷体"/>
          <w:color w:val="000000"/>
          <w:kern w:val="0"/>
          <w:sz w:val="24"/>
          <w:szCs w:val="24"/>
          <w:highlight w:val="none"/>
        </w:rPr>
      </w:pPr>
    </w:p>
    <w:p w14:paraId="3D292C51">
      <w:pPr>
        <w:numPr>
          <w:ilvl w:val="1"/>
          <w:numId w:val="2"/>
        </w:numPr>
        <w:adjustRightInd w:val="0"/>
        <w:ind w:left="840" w:hanging="840" w:hangingChars="350"/>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rPr>
        <w:t xml:space="preserve"> 公司薪酬管理制度遵循合法性、公平性、外部竞争性、激励性和经济性原则。</w:t>
      </w:r>
    </w:p>
    <w:p w14:paraId="06FE4F7D">
      <w:pPr>
        <w:tabs>
          <w:tab w:val="left" w:pos="1350"/>
        </w:tabs>
        <w:adjustRightInd w:val="0"/>
        <w:ind w:left="840"/>
        <w:rPr>
          <w:rFonts w:hint="eastAsia" w:ascii="宋体" w:hAnsi="宋体" w:cs="楷体"/>
          <w:color w:val="000000"/>
          <w:kern w:val="0"/>
          <w:sz w:val="24"/>
          <w:szCs w:val="24"/>
          <w:highlight w:val="none"/>
        </w:rPr>
      </w:pPr>
    </w:p>
    <w:p w14:paraId="2AD2BBFC">
      <w:pPr>
        <w:numPr>
          <w:ilvl w:val="1"/>
          <w:numId w:val="2"/>
        </w:numPr>
        <w:adjustRightInd w:val="0"/>
        <w:ind w:left="840" w:hanging="840" w:hangingChars="350"/>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rPr>
        <w:t xml:space="preserve"> 本制度适用于《公司章程》规定的董事、高级管理人员。</w:t>
      </w:r>
    </w:p>
    <w:p w14:paraId="6F95FD9C">
      <w:pPr>
        <w:autoSpaceDE w:val="0"/>
        <w:autoSpaceDN w:val="0"/>
        <w:adjustRightInd w:val="0"/>
        <w:snapToGrid w:val="0"/>
        <w:ind w:firstLine="560"/>
        <w:rPr>
          <w:rFonts w:hint="eastAsia" w:ascii="宋体" w:hAnsi="宋体" w:cs="楷体"/>
          <w:color w:val="000000"/>
          <w:kern w:val="0"/>
          <w:sz w:val="24"/>
          <w:szCs w:val="24"/>
          <w:highlight w:val="none"/>
        </w:rPr>
      </w:pPr>
    </w:p>
    <w:p w14:paraId="682F2FDF">
      <w:pPr>
        <w:numPr>
          <w:ilvl w:val="0"/>
          <w:numId w:val="1"/>
        </w:numPr>
        <w:tabs>
          <w:tab w:val="left" w:pos="840"/>
        </w:tabs>
        <w:adjustRightInd w:val="0"/>
        <w:snapToGrid w:val="0"/>
        <w:ind w:left="0" w:firstLine="0"/>
        <w:jc w:val="center"/>
        <w:rPr>
          <w:rFonts w:hint="eastAsia" w:ascii="宋体" w:hAnsi="宋体" w:cs="楷体"/>
          <w:b/>
          <w:color w:val="000000"/>
          <w:kern w:val="0"/>
          <w:sz w:val="24"/>
          <w:szCs w:val="24"/>
          <w:highlight w:val="none"/>
        </w:rPr>
      </w:pPr>
      <w:r>
        <w:rPr>
          <w:rFonts w:hint="eastAsia" w:ascii="宋体" w:hAnsi="宋体" w:cs="楷体"/>
          <w:b/>
          <w:color w:val="000000"/>
          <w:kern w:val="0"/>
          <w:sz w:val="24"/>
          <w:szCs w:val="24"/>
          <w:highlight w:val="none"/>
        </w:rPr>
        <w:t xml:space="preserve"> 管理机构以及工资总额决定机制</w:t>
      </w:r>
    </w:p>
    <w:p w14:paraId="754C74EC">
      <w:pPr>
        <w:adjustRightInd w:val="0"/>
        <w:snapToGrid w:val="0"/>
        <w:rPr>
          <w:rFonts w:hint="eastAsia" w:ascii="宋体" w:hAnsi="宋体" w:cs="楷体"/>
          <w:b/>
          <w:color w:val="000000"/>
          <w:kern w:val="0"/>
          <w:sz w:val="24"/>
          <w:szCs w:val="24"/>
          <w:highlight w:val="none"/>
        </w:rPr>
      </w:pPr>
    </w:p>
    <w:p w14:paraId="112E65B1">
      <w:pPr>
        <w:numPr>
          <w:ilvl w:val="1"/>
          <w:numId w:val="2"/>
        </w:numPr>
        <w:autoSpaceDE w:val="0"/>
        <w:autoSpaceDN w:val="0"/>
        <w:adjustRightInd w:val="0"/>
        <w:ind w:left="850" w:hanging="849" w:hangingChars="354"/>
        <w:rPr>
          <w:rFonts w:hint="eastAsia" w:ascii="宋体" w:hAnsi="宋体"/>
          <w:color w:val="000000"/>
          <w:kern w:val="0"/>
          <w:sz w:val="24"/>
          <w:szCs w:val="24"/>
          <w:highlight w:val="none"/>
        </w:rPr>
      </w:pPr>
      <w:r>
        <w:rPr>
          <w:rFonts w:hint="eastAsia" w:ascii="宋体" w:hAnsi="宋体" w:cs="楷体"/>
          <w:color w:val="000000"/>
          <w:kern w:val="0"/>
          <w:sz w:val="24"/>
          <w:szCs w:val="24"/>
          <w:highlight w:val="none"/>
        </w:rPr>
        <w:t xml:space="preserve"> </w:t>
      </w:r>
      <w:r>
        <w:rPr>
          <w:rFonts w:hint="eastAsia" w:ascii="宋体" w:hAnsi="宋体"/>
          <w:color w:val="000000"/>
          <w:kern w:val="0"/>
          <w:sz w:val="24"/>
          <w:szCs w:val="24"/>
          <w:highlight w:val="none"/>
        </w:rPr>
        <w:t>公司董事会下设薪酬与考核委员会，负责制定公司董事、高级管理人员的考核标准并进行考核；负责制定、审查公司董事、高级管理人员的薪酬方案。董事薪酬方案由股东会决定，并予以披露。在董事会或者薪酬与考核委员会对董事个人进行评价或者讨论其报酬时，该董事应当回避。</w:t>
      </w:r>
    </w:p>
    <w:p w14:paraId="7C8331CA">
      <w:pPr>
        <w:autoSpaceDE w:val="0"/>
        <w:autoSpaceDN w:val="0"/>
        <w:adjustRightInd w:val="0"/>
        <w:ind w:left="850" w:hanging="849" w:hangingChars="354"/>
        <w:rPr>
          <w:rFonts w:hint="eastAsia" w:ascii="宋体" w:hAnsi="宋体" w:cs="楷体"/>
          <w:color w:val="000000"/>
          <w:kern w:val="0"/>
          <w:sz w:val="24"/>
          <w:szCs w:val="24"/>
          <w:highlight w:val="none"/>
        </w:rPr>
      </w:pPr>
    </w:p>
    <w:p w14:paraId="3BFFF6C4">
      <w:pPr>
        <w:numPr>
          <w:ilvl w:val="1"/>
          <w:numId w:val="2"/>
        </w:numPr>
        <w:autoSpaceDE w:val="0"/>
        <w:autoSpaceDN w:val="0"/>
        <w:adjustRightInd w:val="0"/>
        <w:ind w:left="850" w:hanging="849" w:hangingChars="354"/>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rPr>
        <w:t xml:space="preserve"> 高级管理人员薪酬方案由董事会批准，向股东会说明，并予以充分披露。</w:t>
      </w:r>
    </w:p>
    <w:p w14:paraId="0D826000">
      <w:pPr>
        <w:autoSpaceDE w:val="0"/>
        <w:autoSpaceDN w:val="0"/>
        <w:adjustRightInd w:val="0"/>
        <w:ind w:left="850" w:hanging="849" w:hangingChars="354"/>
        <w:rPr>
          <w:rFonts w:hint="eastAsia" w:ascii="宋体" w:hAnsi="宋体" w:cs="楷体"/>
          <w:color w:val="000000"/>
          <w:kern w:val="0"/>
          <w:sz w:val="24"/>
          <w:szCs w:val="24"/>
          <w:highlight w:val="none"/>
        </w:rPr>
      </w:pPr>
    </w:p>
    <w:p w14:paraId="65AA9145">
      <w:pPr>
        <w:numPr>
          <w:ilvl w:val="1"/>
          <w:numId w:val="2"/>
        </w:numPr>
        <w:autoSpaceDE w:val="0"/>
        <w:autoSpaceDN w:val="0"/>
        <w:adjustRightInd w:val="0"/>
        <w:ind w:left="850" w:hanging="849" w:hangingChars="354"/>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rPr>
        <w:t xml:space="preserve"> 公司人力资源部、财务部、董事会办公室等相关部门配合董事会薪酬与考核委员会进行公司董事、高级管理人员薪酬方案的具体实施。</w:t>
      </w:r>
    </w:p>
    <w:p w14:paraId="0BB7FC51">
      <w:pPr>
        <w:autoSpaceDE w:val="0"/>
        <w:autoSpaceDN w:val="0"/>
        <w:adjustRightInd w:val="0"/>
        <w:rPr>
          <w:rFonts w:hint="eastAsia" w:ascii="宋体" w:hAnsi="宋体" w:cs="楷体"/>
          <w:color w:val="000000"/>
          <w:kern w:val="0"/>
          <w:sz w:val="24"/>
          <w:szCs w:val="24"/>
          <w:highlight w:val="none"/>
        </w:rPr>
      </w:pPr>
    </w:p>
    <w:p w14:paraId="2C5753C4">
      <w:pPr>
        <w:autoSpaceDE w:val="0"/>
        <w:autoSpaceDN w:val="0"/>
        <w:adjustRightInd w:val="0"/>
        <w:ind w:left="840"/>
        <w:rPr>
          <w:rFonts w:hint="eastAsia" w:ascii="宋体" w:hAnsi="宋体" w:cs="楷体"/>
          <w:color w:val="000000"/>
          <w:kern w:val="0"/>
          <w:sz w:val="24"/>
          <w:szCs w:val="24"/>
          <w:highlight w:val="none"/>
        </w:rPr>
      </w:pPr>
    </w:p>
    <w:p w14:paraId="2D3563B7">
      <w:pPr>
        <w:numPr>
          <w:ilvl w:val="0"/>
          <w:numId w:val="1"/>
        </w:numPr>
        <w:tabs>
          <w:tab w:val="left" w:pos="840"/>
        </w:tabs>
        <w:adjustRightInd w:val="0"/>
        <w:snapToGrid w:val="0"/>
        <w:ind w:left="0" w:firstLine="0"/>
        <w:jc w:val="center"/>
        <w:rPr>
          <w:rFonts w:hint="eastAsia" w:ascii="宋体" w:hAnsi="宋体" w:cs="楷体"/>
          <w:b/>
          <w:color w:val="000000"/>
          <w:kern w:val="0"/>
          <w:sz w:val="24"/>
          <w:szCs w:val="24"/>
          <w:highlight w:val="none"/>
        </w:rPr>
      </w:pPr>
      <w:r>
        <w:rPr>
          <w:rFonts w:hint="eastAsia" w:ascii="宋体" w:hAnsi="宋体" w:cs="楷体"/>
          <w:b/>
          <w:color w:val="000000"/>
          <w:kern w:val="0"/>
          <w:sz w:val="24"/>
          <w:szCs w:val="24"/>
          <w:highlight w:val="none"/>
        </w:rPr>
        <w:t xml:space="preserve"> 薪酬的构成和标准</w:t>
      </w:r>
    </w:p>
    <w:p w14:paraId="743F3154">
      <w:pPr>
        <w:adjustRightInd w:val="0"/>
        <w:snapToGrid w:val="0"/>
        <w:rPr>
          <w:rFonts w:hint="eastAsia" w:ascii="宋体" w:hAnsi="宋体" w:cs="楷体"/>
          <w:b/>
          <w:color w:val="000000"/>
          <w:kern w:val="0"/>
          <w:sz w:val="24"/>
          <w:szCs w:val="24"/>
          <w:highlight w:val="none"/>
        </w:rPr>
      </w:pPr>
    </w:p>
    <w:p w14:paraId="14050B53">
      <w:pPr>
        <w:numPr>
          <w:ilvl w:val="1"/>
          <w:numId w:val="2"/>
        </w:numPr>
        <w:adjustRightInd w:val="0"/>
        <w:spacing w:after="120"/>
        <w:ind w:left="850" w:hanging="849" w:hangingChars="354"/>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rPr>
        <w:t xml:space="preserve"> 公司薪酬应遵循以下原则：</w:t>
      </w:r>
    </w:p>
    <w:p w14:paraId="11D7478C">
      <w:pPr>
        <w:tabs>
          <w:tab w:val="left" w:pos="1350"/>
        </w:tabs>
        <w:adjustRightInd w:val="0"/>
        <w:spacing w:after="120"/>
        <w:ind w:left="850"/>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lang w:eastAsia="zh-CN"/>
        </w:rPr>
        <w:t>（一）</w:t>
      </w:r>
      <w:r>
        <w:rPr>
          <w:rFonts w:hint="eastAsia" w:ascii="宋体" w:hAnsi="宋体" w:cs="楷体"/>
          <w:color w:val="000000"/>
          <w:kern w:val="0"/>
          <w:sz w:val="24"/>
          <w:szCs w:val="24"/>
          <w:highlight w:val="none"/>
        </w:rPr>
        <w:tab/>
      </w:r>
      <w:r>
        <w:rPr>
          <w:rFonts w:hint="eastAsia" w:ascii="宋体" w:hAnsi="宋体" w:cs="楷体"/>
          <w:color w:val="000000"/>
          <w:kern w:val="0"/>
          <w:sz w:val="24"/>
          <w:szCs w:val="24"/>
          <w:highlight w:val="none"/>
        </w:rPr>
        <w:t>体现收入水平符合公司规模与业绩的原则，同时与外部薪酬水平相符；</w:t>
      </w:r>
    </w:p>
    <w:p w14:paraId="0AE07BBD">
      <w:pPr>
        <w:tabs>
          <w:tab w:val="left" w:pos="1350"/>
        </w:tabs>
        <w:adjustRightInd w:val="0"/>
        <w:spacing w:after="120"/>
        <w:ind w:left="850"/>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lang w:eastAsia="zh-CN"/>
        </w:rPr>
        <w:t>（二）</w:t>
      </w:r>
      <w:r>
        <w:rPr>
          <w:rFonts w:hint="eastAsia" w:ascii="宋体" w:hAnsi="宋体" w:cs="楷体"/>
          <w:color w:val="000000"/>
          <w:kern w:val="0"/>
          <w:sz w:val="24"/>
          <w:szCs w:val="24"/>
          <w:highlight w:val="none"/>
        </w:rPr>
        <w:tab/>
      </w:r>
      <w:r>
        <w:rPr>
          <w:rFonts w:hint="eastAsia" w:ascii="宋体" w:hAnsi="宋体" w:cs="楷体"/>
          <w:color w:val="000000"/>
          <w:kern w:val="0"/>
          <w:sz w:val="24"/>
          <w:szCs w:val="24"/>
          <w:highlight w:val="none"/>
        </w:rPr>
        <w:t>体现责权利对等的原则，薪酬与岗位价值高低、承担责任大小相符；</w:t>
      </w:r>
    </w:p>
    <w:p w14:paraId="60F7A5C6">
      <w:pPr>
        <w:tabs>
          <w:tab w:val="left" w:pos="1350"/>
        </w:tabs>
        <w:adjustRightInd w:val="0"/>
        <w:spacing w:after="120"/>
        <w:ind w:left="850"/>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lang w:eastAsia="zh-CN"/>
        </w:rPr>
        <w:t>（三）</w:t>
      </w:r>
      <w:r>
        <w:rPr>
          <w:rFonts w:hint="eastAsia" w:ascii="宋体" w:hAnsi="宋体" w:cs="楷体"/>
          <w:color w:val="000000"/>
          <w:kern w:val="0"/>
          <w:sz w:val="24"/>
          <w:szCs w:val="24"/>
          <w:highlight w:val="none"/>
        </w:rPr>
        <w:tab/>
      </w:r>
      <w:r>
        <w:rPr>
          <w:rFonts w:hint="eastAsia" w:ascii="宋体" w:hAnsi="宋体" w:cs="楷体"/>
          <w:color w:val="000000"/>
          <w:kern w:val="0"/>
          <w:sz w:val="24"/>
          <w:szCs w:val="24"/>
          <w:highlight w:val="none"/>
        </w:rPr>
        <w:t>体现公司长远利益的原则，与公司持续健康发展的目标相符；</w:t>
      </w:r>
    </w:p>
    <w:p w14:paraId="2411C705">
      <w:pPr>
        <w:tabs>
          <w:tab w:val="left" w:pos="1350"/>
        </w:tabs>
        <w:adjustRightInd w:val="0"/>
        <w:spacing w:after="120"/>
        <w:ind w:left="850"/>
        <w:rPr>
          <w:rFonts w:hint="eastAsia" w:ascii="宋体" w:hAnsi="宋体" w:cs="楷体"/>
          <w:color w:val="000000"/>
          <w:kern w:val="0"/>
          <w:sz w:val="24"/>
          <w:szCs w:val="24"/>
          <w:highlight w:val="none"/>
          <w:lang w:eastAsia="zh-CN"/>
        </w:rPr>
      </w:pPr>
      <w:r>
        <w:rPr>
          <w:rFonts w:hint="eastAsia" w:ascii="宋体" w:hAnsi="宋体" w:cs="楷体"/>
          <w:color w:val="000000"/>
          <w:kern w:val="0"/>
          <w:sz w:val="24"/>
          <w:szCs w:val="24"/>
          <w:highlight w:val="none"/>
          <w:lang w:eastAsia="zh-CN"/>
        </w:rPr>
        <w:t>（四）</w:t>
      </w:r>
      <w:r>
        <w:rPr>
          <w:rFonts w:hint="eastAsia" w:ascii="宋体" w:hAnsi="宋体" w:cs="楷体"/>
          <w:color w:val="000000"/>
          <w:kern w:val="0"/>
          <w:sz w:val="24"/>
          <w:szCs w:val="24"/>
          <w:highlight w:val="none"/>
        </w:rPr>
        <w:tab/>
      </w:r>
      <w:r>
        <w:rPr>
          <w:rFonts w:hint="eastAsia" w:ascii="宋体" w:hAnsi="宋体" w:cs="楷体"/>
          <w:color w:val="000000"/>
          <w:kern w:val="0"/>
          <w:sz w:val="24"/>
          <w:szCs w:val="24"/>
          <w:highlight w:val="none"/>
        </w:rPr>
        <w:t>体现激励与约束并重、奖罚对等的原则，薪酬发放与考核挂钩、与奖惩挂钩</w:t>
      </w:r>
      <w:r>
        <w:rPr>
          <w:rFonts w:hint="eastAsia" w:ascii="宋体" w:hAnsi="宋体" w:cs="楷体"/>
          <w:color w:val="000000"/>
          <w:kern w:val="0"/>
          <w:sz w:val="24"/>
          <w:szCs w:val="24"/>
          <w:highlight w:val="none"/>
          <w:lang w:eastAsia="zh-CN"/>
        </w:rPr>
        <w:t>。</w:t>
      </w:r>
    </w:p>
    <w:p w14:paraId="610C9224">
      <w:pPr>
        <w:tabs>
          <w:tab w:val="left" w:pos="1350"/>
        </w:tabs>
        <w:adjustRightInd w:val="0"/>
        <w:spacing w:after="120"/>
        <w:rPr>
          <w:rFonts w:hint="eastAsia" w:ascii="宋体" w:hAnsi="宋体" w:cs="楷体"/>
          <w:color w:val="000000"/>
          <w:kern w:val="0"/>
          <w:sz w:val="24"/>
          <w:szCs w:val="24"/>
          <w:highlight w:val="none"/>
          <w:lang w:eastAsia="zh-CN"/>
        </w:rPr>
      </w:pPr>
    </w:p>
    <w:p w14:paraId="07A20AED">
      <w:pPr>
        <w:numPr>
          <w:ilvl w:val="1"/>
          <w:numId w:val="2"/>
        </w:numPr>
        <w:autoSpaceDE w:val="0"/>
        <w:autoSpaceDN w:val="0"/>
        <w:adjustRightInd w:val="0"/>
        <w:ind w:left="850" w:hanging="849" w:hangingChars="354"/>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rPr>
        <w:t xml:space="preserve"> 在</w:t>
      </w:r>
      <w:r>
        <w:rPr>
          <w:rFonts w:hint="eastAsia" w:ascii="宋体" w:hAnsi="宋体"/>
          <w:sz w:val="24"/>
          <w:highlight w:val="none"/>
        </w:rPr>
        <w:t>公司兼任高管或其他职务的非独立董事，按照在公司任职的职务与岗位职责确定薪酬标准，不再领取董事津贴。未在公司任职的非独立董事，不在公司领取报酬和津贴</w:t>
      </w:r>
      <w:r>
        <w:rPr>
          <w:rFonts w:hint="eastAsia" w:ascii="宋体" w:hAnsi="宋体"/>
          <w:sz w:val="24"/>
          <w:highlight w:val="none"/>
          <w:lang w:eastAsia="zh-CN"/>
        </w:rPr>
        <w:t>。</w:t>
      </w:r>
      <w:bookmarkStart w:id="2" w:name="_GoBack"/>
      <w:bookmarkEnd w:id="2"/>
    </w:p>
    <w:p w14:paraId="7EBC329D">
      <w:pPr>
        <w:numPr>
          <w:ilvl w:val="0"/>
          <w:numId w:val="0"/>
        </w:numPr>
        <w:autoSpaceDE w:val="0"/>
        <w:autoSpaceDN w:val="0"/>
        <w:adjustRightInd w:val="0"/>
        <w:ind w:leftChars="-354"/>
        <w:rPr>
          <w:rFonts w:hint="eastAsia" w:ascii="宋体" w:hAnsi="宋体" w:cs="楷体"/>
          <w:color w:val="000000"/>
          <w:kern w:val="0"/>
          <w:sz w:val="24"/>
          <w:szCs w:val="24"/>
          <w:highlight w:val="none"/>
        </w:rPr>
      </w:pPr>
    </w:p>
    <w:p w14:paraId="590CF53F">
      <w:pPr>
        <w:numPr>
          <w:ilvl w:val="1"/>
          <w:numId w:val="2"/>
        </w:numPr>
        <w:autoSpaceDE w:val="0"/>
        <w:autoSpaceDN w:val="0"/>
        <w:adjustRightInd w:val="0"/>
        <w:ind w:left="850" w:hanging="849" w:hangingChars="354"/>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lang w:val="en-US" w:eastAsia="zh-CN"/>
        </w:rPr>
        <w:t xml:space="preserve"> </w:t>
      </w:r>
      <w:r>
        <w:rPr>
          <w:rFonts w:hint="eastAsia" w:ascii="宋体" w:hAnsi="宋体" w:cs="楷体"/>
          <w:color w:val="000000"/>
          <w:kern w:val="0"/>
          <w:sz w:val="24"/>
          <w:szCs w:val="24"/>
          <w:highlight w:val="none"/>
        </w:rPr>
        <w:t>未在公司担任其他职务的独立董事实行固定津贴制度，津贴标准由股东会审议，原则上每年发放津贴，股东会审议通过后按年发放。独立董事因出席公司董事会、专门委员会、股东会的差旅费及依照《公司章程》行使职权时所需的其他费用，由公司承担。</w:t>
      </w:r>
    </w:p>
    <w:p w14:paraId="303E4C6A">
      <w:pPr>
        <w:numPr>
          <w:ilvl w:val="0"/>
          <w:numId w:val="0"/>
        </w:numPr>
        <w:autoSpaceDE w:val="0"/>
        <w:autoSpaceDN w:val="0"/>
        <w:adjustRightInd w:val="0"/>
        <w:ind w:leftChars="-354"/>
        <w:rPr>
          <w:rFonts w:hint="eastAsia" w:ascii="宋体" w:hAnsi="宋体" w:cs="楷体"/>
          <w:color w:val="000000"/>
          <w:kern w:val="0"/>
          <w:sz w:val="24"/>
          <w:szCs w:val="24"/>
          <w:highlight w:val="none"/>
        </w:rPr>
      </w:pPr>
    </w:p>
    <w:p w14:paraId="12302CB2">
      <w:pPr>
        <w:numPr>
          <w:ilvl w:val="1"/>
          <w:numId w:val="2"/>
        </w:numPr>
        <w:autoSpaceDE w:val="0"/>
        <w:autoSpaceDN w:val="0"/>
        <w:adjustRightInd w:val="0"/>
        <w:ind w:left="850" w:hanging="849" w:hangingChars="354"/>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rPr>
        <w:t xml:space="preserve"> 公司职工董事属于公司员工，按照其实际任职的岗位薪酬标准领取报酬，由公司结合其岗位要求开展业绩考核。</w:t>
      </w:r>
    </w:p>
    <w:p w14:paraId="6883ABD9">
      <w:pPr>
        <w:numPr>
          <w:ilvl w:val="0"/>
          <w:numId w:val="0"/>
        </w:numPr>
        <w:autoSpaceDE w:val="0"/>
        <w:autoSpaceDN w:val="0"/>
        <w:adjustRightInd w:val="0"/>
        <w:ind w:leftChars="-354"/>
        <w:rPr>
          <w:rFonts w:hint="eastAsia" w:ascii="宋体" w:hAnsi="宋体" w:cs="楷体"/>
          <w:color w:val="000000"/>
          <w:kern w:val="0"/>
          <w:sz w:val="24"/>
          <w:szCs w:val="24"/>
          <w:highlight w:val="none"/>
        </w:rPr>
      </w:pPr>
    </w:p>
    <w:p w14:paraId="598CA240">
      <w:pPr>
        <w:numPr>
          <w:ilvl w:val="1"/>
          <w:numId w:val="2"/>
        </w:numPr>
        <w:autoSpaceDE w:val="0"/>
        <w:autoSpaceDN w:val="0"/>
        <w:adjustRightInd w:val="0"/>
        <w:ind w:left="850" w:hanging="849" w:hangingChars="354"/>
        <w:rPr>
          <w:rFonts w:hint="eastAsia" w:ascii="宋体" w:hAnsi="宋体" w:cs="楷体"/>
          <w:color w:val="000000"/>
          <w:kern w:val="0"/>
          <w:sz w:val="24"/>
          <w:szCs w:val="24"/>
          <w:highlight w:val="none"/>
        </w:rPr>
      </w:pPr>
      <w:r>
        <w:rPr>
          <w:rFonts w:hint="eastAsia" w:ascii="宋体" w:hAnsi="宋体" w:cs="楷体"/>
          <w:color w:val="000000"/>
          <w:kern w:val="0"/>
          <w:sz w:val="24"/>
          <w:szCs w:val="24"/>
          <w:highlight w:val="none"/>
          <w:lang w:val="en-US" w:eastAsia="zh-CN"/>
        </w:rPr>
        <w:t xml:space="preserve"> </w:t>
      </w:r>
      <w:r>
        <w:rPr>
          <w:rFonts w:hint="eastAsia" w:ascii="宋体" w:hAnsi="宋体" w:cs="楷体"/>
          <w:color w:val="000000"/>
          <w:kern w:val="0"/>
          <w:sz w:val="24"/>
          <w:szCs w:val="24"/>
          <w:highlight w:val="none"/>
        </w:rPr>
        <w:t>公司非独立董事和高级管理人员薪酬由基本薪酬、绩效薪酬和中长期激励收入三部分组成。其中，绩效薪酬占比原则上不低于基本薪酬和绩效薪酬总额的百分之五十。</w:t>
      </w:r>
    </w:p>
    <w:p w14:paraId="612965A6">
      <w:pPr>
        <w:tabs>
          <w:tab w:val="left" w:pos="840"/>
        </w:tabs>
        <w:adjustRightInd w:val="0"/>
        <w:snapToGrid w:val="0"/>
        <w:rPr>
          <w:rFonts w:hint="eastAsia" w:ascii="宋体" w:hAnsi="宋体" w:cs="楷体"/>
          <w:color w:val="000000"/>
          <w:kern w:val="0"/>
          <w:sz w:val="24"/>
          <w:szCs w:val="24"/>
        </w:rPr>
      </w:pPr>
    </w:p>
    <w:p w14:paraId="0C2D8380">
      <w:pPr>
        <w:numPr>
          <w:ilvl w:val="0"/>
          <w:numId w:val="1"/>
        </w:numPr>
        <w:tabs>
          <w:tab w:val="left" w:pos="840"/>
        </w:tabs>
        <w:adjustRightInd w:val="0"/>
        <w:snapToGrid w:val="0"/>
        <w:ind w:left="0" w:firstLine="0"/>
        <w:jc w:val="center"/>
        <w:rPr>
          <w:rFonts w:hint="eastAsia" w:ascii="宋体" w:hAnsi="宋体" w:cs="楷体"/>
          <w:b/>
          <w:color w:val="000000"/>
          <w:kern w:val="0"/>
          <w:sz w:val="24"/>
          <w:szCs w:val="24"/>
        </w:rPr>
      </w:pPr>
      <w:r>
        <w:rPr>
          <w:rFonts w:hint="eastAsia" w:ascii="宋体" w:hAnsi="宋体" w:cs="楷体"/>
          <w:b/>
          <w:color w:val="000000"/>
          <w:kern w:val="0"/>
          <w:sz w:val="24"/>
          <w:szCs w:val="24"/>
        </w:rPr>
        <w:t xml:space="preserve"> 薪酬发放</w:t>
      </w:r>
    </w:p>
    <w:p w14:paraId="491A7215">
      <w:pPr>
        <w:adjustRightInd w:val="0"/>
        <w:snapToGrid w:val="0"/>
        <w:rPr>
          <w:rFonts w:hint="eastAsia" w:ascii="宋体" w:hAnsi="宋体" w:cs="楷体"/>
          <w:b/>
          <w:color w:val="000000"/>
          <w:kern w:val="0"/>
          <w:sz w:val="24"/>
          <w:szCs w:val="24"/>
        </w:rPr>
      </w:pPr>
    </w:p>
    <w:p w14:paraId="16976C65">
      <w:pPr>
        <w:numPr>
          <w:ilvl w:val="1"/>
          <w:numId w:val="2"/>
        </w:numPr>
        <w:autoSpaceDE w:val="0"/>
        <w:autoSpaceDN w:val="0"/>
        <w:adjustRightInd w:val="0"/>
        <w:ind w:left="850" w:hanging="849" w:hangingChars="354"/>
        <w:rPr>
          <w:rFonts w:hint="eastAsia" w:ascii="宋体" w:hAnsi="宋体" w:cs="楷体"/>
          <w:color w:val="000000"/>
          <w:kern w:val="0"/>
          <w:sz w:val="24"/>
          <w:szCs w:val="24"/>
        </w:rPr>
      </w:pPr>
      <w:r>
        <w:rPr>
          <w:rFonts w:hint="eastAsia" w:ascii="宋体" w:hAnsi="宋体" w:cs="楷体"/>
          <w:color w:val="000000"/>
          <w:kern w:val="0"/>
          <w:sz w:val="24"/>
          <w:szCs w:val="24"/>
        </w:rPr>
        <w:t xml:space="preserve"> </w:t>
      </w:r>
      <w:r>
        <w:rPr>
          <w:rFonts w:hint="eastAsia" w:ascii="宋体" w:hAnsi="宋体" w:cs="楷体"/>
          <w:color w:val="000000"/>
          <w:kern w:val="0"/>
          <w:sz w:val="24"/>
          <w:szCs w:val="24"/>
          <w:highlight w:val="none"/>
        </w:rPr>
        <w:t>董事、高级管理人员薪酬、绩效考核</w:t>
      </w:r>
      <w:r>
        <w:rPr>
          <w:rFonts w:hint="eastAsia" w:ascii="宋体" w:hAnsi="宋体" w:cs="楷体"/>
          <w:color w:val="000000"/>
          <w:kern w:val="0"/>
          <w:sz w:val="24"/>
          <w:szCs w:val="24"/>
          <w:highlight w:val="none"/>
          <w:lang w:eastAsia="zh-CN"/>
        </w:rPr>
        <w:t>、</w:t>
      </w:r>
      <w:r>
        <w:rPr>
          <w:rFonts w:hint="eastAsia" w:ascii="宋体" w:hAnsi="宋体" w:cs="楷体"/>
          <w:color w:val="000000"/>
          <w:kern w:val="0"/>
          <w:sz w:val="24"/>
          <w:szCs w:val="24"/>
          <w:highlight w:val="none"/>
        </w:rPr>
        <w:t>津贴</w:t>
      </w:r>
      <w:r>
        <w:rPr>
          <w:rFonts w:hint="eastAsia" w:ascii="宋体" w:hAnsi="宋体" w:cs="楷体"/>
          <w:color w:val="000000"/>
          <w:kern w:val="0"/>
          <w:sz w:val="24"/>
          <w:szCs w:val="24"/>
          <w:highlight w:val="none"/>
          <w:lang w:val="en-US" w:eastAsia="zh-CN"/>
        </w:rPr>
        <w:t>及日常福利</w:t>
      </w:r>
      <w:r>
        <w:rPr>
          <w:rFonts w:hint="eastAsia" w:ascii="宋体" w:hAnsi="宋体" w:cs="楷体"/>
          <w:color w:val="000000"/>
          <w:kern w:val="0"/>
          <w:sz w:val="24"/>
          <w:szCs w:val="24"/>
          <w:highlight w:val="none"/>
        </w:rPr>
        <w:t>的发放按照公</w:t>
      </w:r>
      <w:r>
        <w:rPr>
          <w:rFonts w:hint="eastAsia" w:ascii="宋体" w:hAnsi="宋体" w:cs="楷体"/>
          <w:color w:val="000000"/>
          <w:kern w:val="0"/>
          <w:sz w:val="24"/>
          <w:szCs w:val="24"/>
          <w:highlight w:val="none"/>
          <w:lang w:val="en-US" w:eastAsia="zh-CN"/>
        </w:rPr>
        <w:t xml:space="preserve">   </w:t>
      </w:r>
      <w:r>
        <w:rPr>
          <w:rFonts w:hint="eastAsia" w:ascii="宋体" w:hAnsi="宋体" w:cs="楷体"/>
          <w:color w:val="000000"/>
          <w:kern w:val="0"/>
          <w:sz w:val="24"/>
          <w:szCs w:val="24"/>
          <w:highlight w:val="none"/>
        </w:rPr>
        <w:t>司薪酬相关管理制度执行。</w:t>
      </w:r>
    </w:p>
    <w:p w14:paraId="4B598B97">
      <w:pPr>
        <w:tabs>
          <w:tab w:val="left" w:pos="1350"/>
        </w:tabs>
        <w:autoSpaceDE w:val="0"/>
        <w:autoSpaceDN w:val="0"/>
        <w:adjustRightInd w:val="0"/>
        <w:ind w:left="850"/>
        <w:rPr>
          <w:rFonts w:hint="eastAsia" w:ascii="宋体" w:hAnsi="宋体" w:cs="楷体"/>
          <w:color w:val="000000"/>
          <w:kern w:val="0"/>
          <w:sz w:val="24"/>
          <w:szCs w:val="24"/>
        </w:rPr>
      </w:pPr>
    </w:p>
    <w:p w14:paraId="01289055">
      <w:pPr>
        <w:numPr>
          <w:ilvl w:val="1"/>
          <w:numId w:val="2"/>
        </w:numPr>
        <w:autoSpaceDE w:val="0"/>
        <w:autoSpaceDN w:val="0"/>
        <w:adjustRightInd w:val="0"/>
        <w:ind w:left="850" w:hanging="849" w:hangingChars="354"/>
        <w:rPr>
          <w:rFonts w:hint="eastAsia" w:ascii="宋体" w:hAnsi="宋体" w:cs="楷体"/>
          <w:color w:val="000000"/>
          <w:kern w:val="0"/>
          <w:sz w:val="24"/>
          <w:szCs w:val="24"/>
        </w:rPr>
      </w:pPr>
      <w:r>
        <w:rPr>
          <w:rFonts w:hint="eastAsia" w:ascii="宋体" w:hAnsi="宋体" w:cs="楷体"/>
          <w:color w:val="000000"/>
          <w:kern w:val="0"/>
          <w:sz w:val="24"/>
          <w:szCs w:val="24"/>
        </w:rPr>
        <w:t xml:space="preserve"> 公司应当确定董事、高级管理人员一定比例的绩效薪酬在年度报告披露和绩效评价后支付，绩效评价应当依据经审计的财务数据开展。</w:t>
      </w:r>
    </w:p>
    <w:p w14:paraId="4A260D39">
      <w:pPr>
        <w:autoSpaceDE w:val="0"/>
        <w:autoSpaceDN w:val="0"/>
        <w:adjustRightInd w:val="0"/>
        <w:rPr>
          <w:rFonts w:hint="eastAsia" w:ascii="宋体" w:hAnsi="宋体" w:cs="楷体"/>
          <w:color w:val="000000"/>
          <w:kern w:val="0"/>
          <w:sz w:val="24"/>
          <w:szCs w:val="24"/>
        </w:rPr>
      </w:pPr>
    </w:p>
    <w:p w14:paraId="6D503ACF">
      <w:pPr>
        <w:numPr>
          <w:ilvl w:val="1"/>
          <w:numId w:val="2"/>
        </w:numPr>
        <w:autoSpaceDE w:val="0"/>
        <w:autoSpaceDN w:val="0"/>
        <w:adjustRightInd w:val="0"/>
        <w:ind w:left="850" w:hanging="849" w:hangingChars="354"/>
        <w:rPr>
          <w:rFonts w:hint="eastAsia" w:ascii="宋体" w:hAnsi="宋体" w:cs="楷体"/>
          <w:color w:val="000000"/>
          <w:kern w:val="0"/>
          <w:sz w:val="24"/>
          <w:szCs w:val="24"/>
        </w:rPr>
      </w:pPr>
      <w:r>
        <w:rPr>
          <w:rFonts w:hint="eastAsia" w:ascii="宋体" w:hAnsi="宋体" w:cs="楷体"/>
          <w:color w:val="000000"/>
          <w:kern w:val="0"/>
          <w:sz w:val="24"/>
          <w:szCs w:val="24"/>
          <w:lang w:val="en-US" w:eastAsia="zh-CN"/>
        </w:rPr>
        <w:t xml:space="preserve"> </w:t>
      </w:r>
      <w:r>
        <w:rPr>
          <w:rFonts w:hint="eastAsia" w:ascii="宋体" w:hAnsi="宋体" w:cs="楷体"/>
          <w:color w:val="000000"/>
          <w:kern w:val="0"/>
          <w:sz w:val="24"/>
          <w:szCs w:val="24"/>
        </w:rPr>
        <w:t>公司董事、高级管理人员因换届、改选、任期内辞职等原因离任的，按其实际任期和实际绩效计算薪酬并予以发放。</w:t>
      </w:r>
    </w:p>
    <w:p w14:paraId="39ED044C">
      <w:pPr>
        <w:adjustRightInd w:val="0"/>
        <w:spacing w:after="156" w:afterLines="50"/>
        <w:rPr>
          <w:rFonts w:hint="eastAsia" w:ascii="宋体" w:hAnsi="宋体" w:cs="楷体"/>
          <w:color w:val="000000"/>
          <w:kern w:val="0"/>
          <w:sz w:val="24"/>
          <w:szCs w:val="24"/>
        </w:rPr>
      </w:pPr>
    </w:p>
    <w:p w14:paraId="54CA9D11">
      <w:pPr>
        <w:numPr>
          <w:ilvl w:val="0"/>
          <w:numId w:val="1"/>
        </w:numPr>
        <w:tabs>
          <w:tab w:val="left" w:pos="840"/>
        </w:tabs>
        <w:adjustRightInd w:val="0"/>
        <w:snapToGrid w:val="0"/>
        <w:ind w:left="0" w:firstLine="0"/>
        <w:jc w:val="center"/>
        <w:rPr>
          <w:rFonts w:hint="eastAsia" w:ascii="宋体" w:hAnsi="宋体" w:cs="楷体"/>
          <w:b/>
          <w:color w:val="000000"/>
          <w:kern w:val="0"/>
          <w:sz w:val="24"/>
          <w:szCs w:val="24"/>
        </w:rPr>
      </w:pPr>
      <w:r>
        <w:rPr>
          <w:rFonts w:hint="eastAsia" w:ascii="宋体" w:hAnsi="宋体" w:cs="楷体"/>
          <w:b/>
          <w:color w:val="000000"/>
          <w:kern w:val="0"/>
          <w:sz w:val="24"/>
          <w:szCs w:val="24"/>
        </w:rPr>
        <w:t>薪酬调整以及止付追索</w:t>
      </w:r>
    </w:p>
    <w:p w14:paraId="7BF87D9F">
      <w:pPr>
        <w:tabs>
          <w:tab w:val="left" w:pos="840"/>
        </w:tabs>
        <w:adjustRightInd w:val="0"/>
        <w:snapToGrid w:val="0"/>
        <w:rPr>
          <w:rFonts w:hint="eastAsia" w:ascii="宋体" w:hAnsi="宋体" w:cs="楷体"/>
          <w:b/>
          <w:color w:val="000000"/>
          <w:kern w:val="0"/>
          <w:sz w:val="24"/>
          <w:szCs w:val="24"/>
        </w:rPr>
      </w:pPr>
    </w:p>
    <w:p w14:paraId="06F844E9">
      <w:pPr>
        <w:keepNext w:val="0"/>
        <w:keepLines w:val="0"/>
        <w:pageBreakBefore w:val="0"/>
        <w:widowControl w:val="0"/>
        <w:numPr>
          <w:ilvl w:val="1"/>
          <w:numId w:val="2"/>
        </w:numPr>
        <w:kinsoku/>
        <w:wordWrap/>
        <w:overflowPunct/>
        <w:topLinePunct w:val="0"/>
        <w:autoSpaceDE w:val="0"/>
        <w:autoSpaceDN w:val="0"/>
        <w:bidi w:val="0"/>
        <w:adjustRightInd w:val="0"/>
        <w:snapToGrid/>
        <w:ind w:left="847" w:hanging="847" w:hangingChars="353"/>
        <w:textAlignment w:val="auto"/>
        <w:rPr>
          <w:rFonts w:hint="eastAsia" w:ascii="宋体" w:hAnsi="宋体" w:cs="楷体"/>
          <w:color w:val="000000"/>
          <w:kern w:val="0"/>
          <w:sz w:val="24"/>
          <w:szCs w:val="24"/>
        </w:rPr>
      </w:pPr>
      <w:r>
        <w:rPr>
          <w:rFonts w:hint="eastAsia" w:ascii="宋体" w:hAnsi="宋体" w:cs="楷体"/>
          <w:color w:val="000000"/>
          <w:kern w:val="0"/>
          <w:sz w:val="24"/>
          <w:szCs w:val="24"/>
        </w:rPr>
        <w:t xml:space="preserve"> 薪酬体系应为公司的经营战略服务，并随着公司经营状况的不断变化而作相应的调整以适应公司的进一步发展需要。</w:t>
      </w:r>
    </w:p>
    <w:p w14:paraId="7D7853C4">
      <w:pPr>
        <w:keepNext w:val="0"/>
        <w:keepLines w:val="0"/>
        <w:pageBreakBefore w:val="0"/>
        <w:widowControl w:val="0"/>
        <w:tabs>
          <w:tab w:val="left" w:pos="840"/>
        </w:tabs>
        <w:kinsoku/>
        <w:wordWrap/>
        <w:overflowPunct/>
        <w:topLinePunct w:val="0"/>
        <w:bidi w:val="0"/>
        <w:adjustRightInd w:val="0"/>
        <w:snapToGrid w:val="0"/>
        <w:ind w:left="847" w:hanging="851" w:hangingChars="353"/>
        <w:textAlignment w:val="auto"/>
        <w:rPr>
          <w:rFonts w:hint="eastAsia" w:ascii="宋体" w:hAnsi="宋体" w:cs="楷体"/>
          <w:b/>
          <w:color w:val="000000"/>
          <w:kern w:val="0"/>
          <w:sz w:val="24"/>
          <w:szCs w:val="24"/>
        </w:rPr>
      </w:pPr>
    </w:p>
    <w:p w14:paraId="0C327E18">
      <w:pPr>
        <w:keepNext w:val="0"/>
        <w:keepLines w:val="0"/>
        <w:pageBreakBefore w:val="0"/>
        <w:widowControl w:val="0"/>
        <w:numPr>
          <w:ilvl w:val="1"/>
          <w:numId w:val="2"/>
        </w:numPr>
        <w:kinsoku/>
        <w:wordWrap/>
        <w:overflowPunct/>
        <w:topLinePunct w:val="0"/>
        <w:autoSpaceDE w:val="0"/>
        <w:autoSpaceDN w:val="0"/>
        <w:bidi w:val="0"/>
        <w:adjustRightInd w:val="0"/>
        <w:snapToGrid/>
        <w:ind w:left="847" w:hanging="847" w:hangingChars="353"/>
        <w:textAlignment w:val="auto"/>
        <w:rPr>
          <w:rFonts w:hint="eastAsia" w:ascii="宋体" w:hAnsi="宋体" w:cs="楷体"/>
          <w:b/>
          <w:color w:val="000000"/>
          <w:kern w:val="0"/>
          <w:sz w:val="24"/>
          <w:szCs w:val="24"/>
        </w:rPr>
      </w:pPr>
      <w:r>
        <w:rPr>
          <w:rFonts w:hint="eastAsia" w:ascii="宋体" w:hAnsi="宋体" w:cs="楷体"/>
          <w:color w:val="000000"/>
          <w:kern w:val="0"/>
          <w:sz w:val="24"/>
          <w:szCs w:val="24"/>
        </w:rPr>
        <w:t xml:space="preserve"> </w:t>
      </w:r>
      <w:bookmarkStart w:id="1" w:name="_Hlk144814356"/>
      <w:r>
        <w:rPr>
          <w:rFonts w:hint="eastAsia" w:ascii="宋体" w:hAnsi="宋体" w:cs="楷体"/>
          <w:color w:val="000000"/>
          <w:kern w:val="0"/>
          <w:sz w:val="24"/>
          <w:szCs w:val="24"/>
        </w:rPr>
        <w:t>当经营环境及外部条件发生重大变化时，经薪酬与考核委员会提议可以变更激励约束条件，不定期地调整薪酬标准。</w:t>
      </w:r>
      <w:bookmarkEnd w:id="1"/>
    </w:p>
    <w:p w14:paraId="45B9F502">
      <w:pPr>
        <w:keepNext w:val="0"/>
        <w:keepLines w:val="0"/>
        <w:pageBreakBefore w:val="0"/>
        <w:widowControl w:val="0"/>
        <w:tabs>
          <w:tab w:val="left" w:pos="1350"/>
        </w:tabs>
        <w:kinsoku/>
        <w:wordWrap/>
        <w:overflowPunct/>
        <w:topLinePunct w:val="0"/>
        <w:autoSpaceDE w:val="0"/>
        <w:autoSpaceDN w:val="0"/>
        <w:bidi w:val="0"/>
        <w:adjustRightInd w:val="0"/>
        <w:ind w:left="847" w:hanging="851" w:hangingChars="353"/>
        <w:textAlignment w:val="auto"/>
        <w:rPr>
          <w:rFonts w:hint="eastAsia" w:ascii="宋体" w:hAnsi="宋体" w:cs="楷体"/>
          <w:b/>
          <w:color w:val="000000"/>
          <w:kern w:val="0"/>
          <w:sz w:val="24"/>
          <w:szCs w:val="24"/>
        </w:rPr>
      </w:pPr>
    </w:p>
    <w:p w14:paraId="4D8B7FA7">
      <w:pPr>
        <w:keepNext w:val="0"/>
        <w:keepLines w:val="0"/>
        <w:pageBreakBefore w:val="0"/>
        <w:widowControl w:val="0"/>
        <w:numPr>
          <w:ilvl w:val="1"/>
          <w:numId w:val="2"/>
        </w:numPr>
        <w:kinsoku/>
        <w:wordWrap/>
        <w:overflowPunct/>
        <w:topLinePunct w:val="0"/>
        <w:autoSpaceDE w:val="0"/>
        <w:autoSpaceDN w:val="0"/>
        <w:bidi w:val="0"/>
        <w:adjustRightInd w:val="0"/>
        <w:snapToGrid/>
        <w:ind w:left="847" w:hanging="847" w:hangingChars="353"/>
        <w:textAlignment w:val="auto"/>
        <w:rPr>
          <w:rFonts w:hint="eastAsia" w:ascii="宋体" w:hAnsi="宋体" w:cs="楷体"/>
          <w:color w:val="000000"/>
          <w:kern w:val="0"/>
          <w:sz w:val="24"/>
          <w:szCs w:val="24"/>
        </w:rPr>
      </w:pPr>
      <w:r>
        <w:rPr>
          <w:rFonts w:hint="eastAsia" w:ascii="宋体" w:hAnsi="宋体" w:cs="楷体"/>
          <w:color w:val="000000"/>
          <w:kern w:val="0"/>
          <w:sz w:val="24"/>
          <w:szCs w:val="24"/>
        </w:rPr>
        <w:t xml:space="preserve"> 公司较上一会计年度由盈利转为亏损或者亏损扩大，董事、高级管理人员平均绩效薪酬未相应下降的，应当披露原因。</w:t>
      </w:r>
    </w:p>
    <w:p w14:paraId="0E0DB450">
      <w:pPr>
        <w:keepNext w:val="0"/>
        <w:keepLines w:val="0"/>
        <w:pageBreakBefore w:val="0"/>
        <w:widowControl w:val="0"/>
        <w:tabs>
          <w:tab w:val="left" w:pos="1350"/>
        </w:tabs>
        <w:kinsoku/>
        <w:wordWrap/>
        <w:overflowPunct/>
        <w:topLinePunct w:val="0"/>
        <w:autoSpaceDE w:val="0"/>
        <w:autoSpaceDN w:val="0"/>
        <w:bidi w:val="0"/>
        <w:adjustRightInd w:val="0"/>
        <w:ind w:left="847" w:hanging="847" w:hangingChars="353"/>
        <w:textAlignment w:val="auto"/>
        <w:rPr>
          <w:rFonts w:hint="eastAsia" w:ascii="宋体" w:hAnsi="宋体" w:cs="楷体"/>
          <w:color w:val="000000"/>
          <w:kern w:val="0"/>
          <w:sz w:val="24"/>
          <w:szCs w:val="24"/>
        </w:rPr>
      </w:pPr>
    </w:p>
    <w:p w14:paraId="30F080AA">
      <w:pPr>
        <w:keepNext w:val="0"/>
        <w:keepLines w:val="0"/>
        <w:pageBreakBefore w:val="0"/>
        <w:widowControl w:val="0"/>
        <w:numPr>
          <w:ilvl w:val="1"/>
          <w:numId w:val="2"/>
        </w:numPr>
        <w:kinsoku/>
        <w:wordWrap/>
        <w:overflowPunct/>
        <w:topLinePunct w:val="0"/>
        <w:autoSpaceDE w:val="0"/>
        <w:autoSpaceDN w:val="0"/>
        <w:bidi w:val="0"/>
        <w:adjustRightInd w:val="0"/>
        <w:snapToGrid/>
        <w:ind w:left="847" w:hanging="847" w:hangingChars="353"/>
        <w:textAlignment w:val="auto"/>
        <w:rPr>
          <w:rFonts w:hint="eastAsia" w:ascii="宋体" w:hAnsi="宋体" w:cs="楷体"/>
          <w:color w:val="000000"/>
          <w:kern w:val="0"/>
          <w:sz w:val="24"/>
          <w:szCs w:val="24"/>
        </w:rPr>
      </w:pPr>
      <w:r>
        <w:rPr>
          <w:rFonts w:hint="eastAsia" w:ascii="宋体" w:hAnsi="宋体" w:cs="楷体"/>
          <w:color w:val="000000"/>
          <w:kern w:val="0"/>
          <w:sz w:val="24"/>
          <w:szCs w:val="24"/>
        </w:rPr>
        <w:t xml:space="preserve"> 公司因财务造假等错报对财务报告进行追溯重述时，应当及时对董事、高级管理人员绩效薪酬和中长期激励收入予以重新考核并相应追回超额发放部分。</w:t>
      </w:r>
    </w:p>
    <w:p w14:paraId="2C8213EE">
      <w:pPr>
        <w:keepNext w:val="0"/>
        <w:keepLines w:val="0"/>
        <w:pageBreakBefore w:val="0"/>
        <w:widowControl w:val="0"/>
        <w:numPr>
          <w:ilvl w:val="0"/>
          <w:numId w:val="0"/>
        </w:numPr>
        <w:kinsoku/>
        <w:wordWrap/>
        <w:overflowPunct/>
        <w:topLinePunct w:val="0"/>
        <w:autoSpaceDE w:val="0"/>
        <w:autoSpaceDN w:val="0"/>
        <w:bidi w:val="0"/>
        <w:adjustRightInd w:val="0"/>
        <w:snapToGrid/>
        <w:jc w:val="both"/>
        <w:textAlignment w:val="auto"/>
        <w:rPr>
          <w:rFonts w:hint="eastAsia" w:ascii="宋体" w:hAnsi="宋体" w:cs="楷体"/>
          <w:color w:val="000000"/>
          <w:kern w:val="0"/>
          <w:sz w:val="24"/>
          <w:szCs w:val="24"/>
        </w:rPr>
      </w:pPr>
    </w:p>
    <w:p w14:paraId="1D297980">
      <w:pPr>
        <w:keepNext w:val="0"/>
        <w:keepLines w:val="0"/>
        <w:pageBreakBefore w:val="0"/>
        <w:widowControl w:val="0"/>
        <w:numPr>
          <w:ilvl w:val="1"/>
          <w:numId w:val="2"/>
        </w:numPr>
        <w:kinsoku/>
        <w:wordWrap/>
        <w:overflowPunct/>
        <w:topLinePunct w:val="0"/>
        <w:autoSpaceDE w:val="0"/>
        <w:autoSpaceDN w:val="0"/>
        <w:bidi w:val="0"/>
        <w:adjustRightInd w:val="0"/>
        <w:snapToGrid/>
        <w:ind w:left="847" w:hanging="847" w:hangingChars="353"/>
        <w:textAlignment w:val="auto"/>
        <w:rPr>
          <w:rFonts w:hint="eastAsia" w:ascii="宋体" w:hAnsi="宋体" w:cs="楷体"/>
          <w:color w:val="000000"/>
          <w:kern w:val="0"/>
          <w:sz w:val="24"/>
          <w:szCs w:val="24"/>
        </w:rPr>
      </w:pPr>
      <w:r>
        <w:rPr>
          <w:rFonts w:hint="eastAsia" w:ascii="宋体" w:hAnsi="宋体" w:cs="楷体"/>
          <w:color w:val="000000"/>
          <w:kern w:val="0"/>
          <w:sz w:val="24"/>
          <w:szCs w:val="24"/>
          <w:lang w:val="en-US" w:eastAsia="zh-CN"/>
        </w:rPr>
        <w:t xml:space="preserve"> </w:t>
      </w:r>
      <w:r>
        <w:rPr>
          <w:rFonts w:hint="eastAsia" w:ascii="宋体" w:hAnsi="宋体" w:cs="楷体"/>
          <w:color w:val="000000"/>
          <w:kern w:val="0"/>
          <w:sz w:val="24"/>
          <w:szCs w:val="24"/>
        </w:rPr>
        <w:t>公司董事、高级管理人员违反义务给公司造成损失，或者对财务造假、 资金占用、违规担保等违法违规行为负有过错的，公司应当根据情节轻重减少、停止支付未支付的绩效薪酬和中长期激励收入，并对相关行为发生期间已经支付的绩效薪酬和中长期激励收入进行全额或部分追回。</w:t>
      </w:r>
    </w:p>
    <w:p w14:paraId="376DAA39">
      <w:pPr>
        <w:tabs>
          <w:tab w:val="left" w:pos="420"/>
          <w:tab w:val="left" w:pos="840"/>
        </w:tabs>
        <w:adjustRightInd w:val="0"/>
        <w:snapToGrid w:val="0"/>
        <w:rPr>
          <w:rFonts w:hint="eastAsia" w:ascii="宋体" w:hAnsi="宋体" w:cs="楷体"/>
          <w:b/>
          <w:color w:val="000000"/>
          <w:kern w:val="0"/>
          <w:sz w:val="24"/>
          <w:szCs w:val="24"/>
        </w:rPr>
      </w:pPr>
    </w:p>
    <w:p w14:paraId="19C7BF2D">
      <w:pPr>
        <w:adjustRightInd w:val="0"/>
        <w:rPr>
          <w:rFonts w:hint="eastAsia" w:ascii="宋体" w:hAnsi="宋体" w:cs="楷体"/>
          <w:color w:val="000000"/>
          <w:kern w:val="0"/>
          <w:sz w:val="24"/>
          <w:szCs w:val="24"/>
        </w:rPr>
      </w:pPr>
    </w:p>
    <w:p w14:paraId="1EFDDD98">
      <w:pPr>
        <w:numPr>
          <w:ilvl w:val="0"/>
          <w:numId w:val="1"/>
        </w:numPr>
        <w:tabs>
          <w:tab w:val="left" w:pos="840"/>
        </w:tabs>
        <w:adjustRightInd w:val="0"/>
        <w:snapToGrid w:val="0"/>
        <w:ind w:left="0" w:firstLine="0"/>
        <w:jc w:val="center"/>
        <w:rPr>
          <w:rFonts w:hint="eastAsia" w:ascii="宋体" w:hAnsi="宋体" w:cs="楷体"/>
          <w:b/>
          <w:color w:val="000000"/>
          <w:kern w:val="0"/>
          <w:sz w:val="24"/>
          <w:szCs w:val="24"/>
        </w:rPr>
      </w:pPr>
      <w:r>
        <w:rPr>
          <w:rFonts w:hint="eastAsia" w:ascii="宋体" w:hAnsi="宋体" w:cs="楷体"/>
          <w:b/>
          <w:color w:val="000000"/>
          <w:kern w:val="0"/>
          <w:sz w:val="24"/>
          <w:szCs w:val="24"/>
        </w:rPr>
        <w:t xml:space="preserve"> 附则</w:t>
      </w:r>
    </w:p>
    <w:p w14:paraId="0C2AC532">
      <w:pPr>
        <w:tabs>
          <w:tab w:val="left" w:pos="1350"/>
        </w:tabs>
        <w:autoSpaceDE w:val="0"/>
        <w:autoSpaceDN w:val="0"/>
        <w:adjustRightInd w:val="0"/>
        <w:rPr>
          <w:rFonts w:hint="eastAsia" w:ascii="宋体" w:hAnsi="宋体" w:cs="楷体"/>
          <w:color w:val="000000"/>
          <w:kern w:val="0"/>
          <w:sz w:val="24"/>
          <w:szCs w:val="24"/>
        </w:rPr>
      </w:pPr>
    </w:p>
    <w:p w14:paraId="5FDBD2BF">
      <w:pPr>
        <w:keepNext w:val="0"/>
        <w:keepLines w:val="0"/>
        <w:pageBreakBefore w:val="0"/>
        <w:widowControl w:val="0"/>
        <w:numPr>
          <w:ilvl w:val="1"/>
          <w:numId w:val="2"/>
        </w:numPr>
        <w:kinsoku/>
        <w:wordWrap/>
        <w:overflowPunct/>
        <w:topLinePunct w:val="0"/>
        <w:autoSpaceDE w:val="0"/>
        <w:autoSpaceDN w:val="0"/>
        <w:bidi w:val="0"/>
        <w:adjustRightInd w:val="0"/>
        <w:ind w:left="847" w:hanging="847" w:hangingChars="353"/>
        <w:textAlignment w:val="auto"/>
        <w:rPr>
          <w:rFonts w:hint="eastAsia" w:ascii="宋体" w:hAnsi="宋体" w:cs="楷体"/>
          <w:color w:val="000000"/>
          <w:kern w:val="0"/>
          <w:sz w:val="24"/>
          <w:szCs w:val="24"/>
        </w:rPr>
      </w:pPr>
      <w:r>
        <w:rPr>
          <w:rFonts w:hint="eastAsia" w:ascii="宋体" w:hAnsi="宋体" w:cs="楷体"/>
          <w:color w:val="000000"/>
          <w:kern w:val="0"/>
          <w:sz w:val="24"/>
          <w:szCs w:val="24"/>
        </w:rPr>
        <w:t xml:space="preserve"> 本制度所称“以上”，除本制度中特别说明外，均含本数；“过”不含本数。</w:t>
      </w:r>
    </w:p>
    <w:p w14:paraId="0F30E373">
      <w:pPr>
        <w:pStyle w:val="11"/>
        <w:keepNext w:val="0"/>
        <w:keepLines w:val="0"/>
        <w:pageBreakBefore w:val="0"/>
        <w:widowControl w:val="0"/>
        <w:kinsoku/>
        <w:wordWrap/>
        <w:overflowPunct/>
        <w:topLinePunct w:val="0"/>
        <w:bidi w:val="0"/>
        <w:ind w:left="847" w:hanging="847" w:hangingChars="353"/>
        <w:textAlignment w:val="auto"/>
        <w:rPr>
          <w:rFonts w:hint="eastAsia" w:ascii="宋体" w:hAnsi="宋体" w:cs="楷体"/>
          <w:color w:val="000000"/>
          <w:kern w:val="0"/>
          <w:sz w:val="24"/>
          <w:szCs w:val="24"/>
        </w:rPr>
      </w:pPr>
    </w:p>
    <w:p w14:paraId="61926221">
      <w:pPr>
        <w:keepNext w:val="0"/>
        <w:keepLines w:val="0"/>
        <w:pageBreakBefore w:val="0"/>
        <w:widowControl w:val="0"/>
        <w:numPr>
          <w:ilvl w:val="1"/>
          <w:numId w:val="2"/>
        </w:numPr>
        <w:kinsoku/>
        <w:wordWrap/>
        <w:overflowPunct/>
        <w:topLinePunct w:val="0"/>
        <w:autoSpaceDE w:val="0"/>
        <w:autoSpaceDN w:val="0"/>
        <w:bidi w:val="0"/>
        <w:adjustRightInd w:val="0"/>
        <w:ind w:left="847" w:hanging="847" w:hangingChars="353"/>
        <w:textAlignment w:val="auto"/>
        <w:rPr>
          <w:rFonts w:hint="eastAsia" w:ascii="宋体" w:hAnsi="宋体" w:cs="楷体"/>
          <w:color w:val="000000"/>
          <w:kern w:val="0"/>
          <w:sz w:val="24"/>
          <w:szCs w:val="24"/>
        </w:rPr>
      </w:pPr>
      <w:r>
        <w:rPr>
          <w:rFonts w:hint="eastAsia" w:ascii="宋体" w:hAnsi="宋体" w:cs="楷体"/>
          <w:color w:val="000000"/>
          <w:kern w:val="0"/>
          <w:sz w:val="24"/>
          <w:szCs w:val="24"/>
        </w:rPr>
        <w:t xml:space="preserve"> 本制度未尽事宜，依照国家有关</w:t>
      </w:r>
      <w:r>
        <w:rPr>
          <w:rFonts w:hint="eastAsia" w:ascii="宋体" w:hAnsi="宋体" w:cs="楷体"/>
          <w:color w:val="000000"/>
          <w:kern w:val="0"/>
          <w:sz w:val="24"/>
          <w:szCs w:val="24"/>
          <w:lang w:eastAsia="zh-CN"/>
        </w:rPr>
        <w:t>法律法规</w:t>
      </w:r>
      <w:r>
        <w:rPr>
          <w:rFonts w:hint="eastAsia" w:ascii="宋体" w:hAnsi="宋体" w:cs="楷体"/>
          <w:color w:val="000000"/>
          <w:kern w:val="0"/>
          <w:sz w:val="24"/>
          <w:szCs w:val="24"/>
        </w:rPr>
        <w:t>、规范性文件和《公司章程》的规定执行。本制度与《公司章程》的规定如有抵触的，以《公司章程》的规定为准。</w:t>
      </w:r>
    </w:p>
    <w:p w14:paraId="47CB8466">
      <w:pPr>
        <w:keepNext w:val="0"/>
        <w:keepLines w:val="0"/>
        <w:pageBreakBefore w:val="0"/>
        <w:widowControl w:val="0"/>
        <w:kinsoku/>
        <w:wordWrap/>
        <w:overflowPunct/>
        <w:topLinePunct w:val="0"/>
        <w:bidi w:val="0"/>
        <w:adjustRightInd w:val="0"/>
        <w:snapToGrid w:val="0"/>
        <w:ind w:left="847" w:hanging="847" w:hangingChars="353"/>
        <w:textAlignment w:val="auto"/>
        <w:rPr>
          <w:rFonts w:hint="eastAsia" w:ascii="宋体" w:hAnsi="宋体"/>
          <w:sz w:val="24"/>
          <w:szCs w:val="24"/>
        </w:rPr>
      </w:pPr>
    </w:p>
    <w:p w14:paraId="65A312EC">
      <w:pPr>
        <w:keepNext w:val="0"/>
        <w:keepLines w:val="0"/>
        <w:pageBreakBefore w:val="0"/>
        <w:widowControl w:val="0"/>
        <w:numPr>
          <w:ilvl w:val="1"/>
          <w:numId w:val="2"/>
        </w:numPr>
        <w:kinsoku/>
        <w:wordWrap/>
        <w:overflowPunct/>
        <w:topLinePunct w:val="0"/>
        <w:bidi w:val="0"/>
        <w:adjustRightInd w:val="0"/>
        <w:snapToGrid w:val="0"/>
        <w:ind w:left="847" w:hanging="847" w:hangingChars="353"/>
        <w:textAlignment w:val="auto"/>
        <w:rPr>
          <w:rFonts w:hint="eastAsia" w:ascii="宋体" w:hAnsi="宋体" w:cs="楷体"/>
          <w:color w:val="000000"/>
          <w:kern w:val="0"/>
          <w:sz w:val="24"/>
          <w:szCs w:val="24"/>
        </w:rPr>
      </w:pPr>
      <w:r>
        <w:rPr>
          <w:rFonts w:hint="eastAsia" w:ascii="宋体" w:hAnsi="宋体"/>
          <w:sz w:val="24"/>
          <w:szCs w:val="24"/>
        </w:rPr>
        <w:t xml:space="preserve"> 本制度自公司股东会审议通过之日起生效，修改时亦同。</w:t>
      </w:r>
    </w:p>
    <w:p w14:paraId="3C19C7B8">
      <w:pPr>
        <w:keepNext w:val="0"/>
        <w:keepLines w:val="0"/>
        <w:pageBreakBefore w:val="0"/>
        <w:widowControl w:val="0"/>
        <w:kinsoku/>
        <w:wordWrap/>
        <w:overflowPunct/>
        <w:topLinePunct w:val="0"/>
        <w:autoSpaceDE w:val="0"/>
        <w:autoSpaceDN w:val="0"/>
        <w:bidi w:val="0"/>
        <w:adjustRightInd w:val="0"/>
        <w:ind w:left="847" w:hanging="847" w:hangingChars="353"/>
        <w:textAlignment w:val="auto"/>
        <w:rPr>
          <w:rFonts w:hint="eastAsia" w:ascii="宋体" w:hAnsi="宋体" w:cs="楷体"/>
          <w:color w:val="000000"/>
          <w:kern w:val="0"/>
          <w:sz w:val="24"/>
          <w:szCs w:val="24"/>
        </w:rPr>
      </w:pPr>
    </w:p>
    <w:p w14:paraId="440FAB78">
      <w:pPr>
        <w:keepNext w:val="0"/>
        <w:keepLines w:val="0"/>
        <w:pageBreakBefore w:val="0"/>
        <w:widowControl w:val="0"/>
        <w:numPr>
          <w:ilvl w:val="1"/>
          <w:numId w:val="2"/>
        </w:numPr>
        <w:kinsoku/>
        <w:wordWrap/>
        <w:overflowPunct/>
        <w:topLinePunct w:val="0"/>
        <w:bidi w:val="0"/>
        <w:adjustRightInd w:val="0"/>
        <w:snapToGrid w:val="0"/>
        <w:ind w:left="847" w:hanging="847" w:hangingChars="353"/>
        <w:textAlignment w:val="auto"/>
        <w:rPr>
          <w:rFonts w:hint="eastAsia" w:ascii="宋体" w:hAnsi="宋体"/>
          <w:sz w:val="24"/>
          <w:szCs w:val="24"/>
        </w:rPr>
      </w:pPr>
      <w:r>
        <w:rPr>
          <w:rFonts w:ascii="宋体" w:hAnsi="宋体"/>
          <w:sz w:val="24"/>
          <w:szCs w:val="24"/>
        </w:rPr>
        <w:t xml:space="preserve"> </w:t>
      </w:r>
      <w:r>
        <w:rPr>
          <w:rFonts w:hint="eastAsia" w:ascii="宋体" w:hAnsi="宋体"/>
          <w:sz w:val="24"/>
          <w:szCs w:val="24"/>
        </w:rPr>
        <w:t>本制度由公司董事会负责解释。</w:t>
      </w:r>
    </w:p>
    <w:p w14:paraId="2831FB54">
      <w:pPr>
        <w:autoSpaceDE w:val="0"/>
        <w:autoSpaceDN w:val="0"/>
        <w:adjustRightInd w:val="0"/>
        <w:jc w:val="left"/>
        <w:rPr>
          <w:rFonts w:hint="eastAsia" w:ascii="宋体" w:hAnsi="宋体" w:cs="楷体"/>
          <w:kern w:val="0"/>
          <w:sz w:val="24"/>
          <w:szCs w:val="24"/>
        </w:rPr>
      </w:pPr>
    </w:p>
    <w:p w14:paraId="20838C1A">
      <w:pPr>
        <w:autoSpaceDE w:val="0"/>
        <w:autoSpaceDN w:val="0"/>
        <w:adjustRightInd w:val="0"/>
        <w:jc w:val="left"/>
        <w:rPr>
          <w:rFonts w:hint="eastAsia" w:ascii="宋体" w:hAnsi="宋体" w:cs="楷体"/>
          <w:kern w:val="0"/>
          <w:sz w:val="24"/>
          <w:szCs w:val="24"/>
        </w:rPr>
      </w:pPr>
    </w:p>
    <w:p w14:paraId="71A278F7">
      <w:pPr>
        <w:autoSpaceDE w:val="0"/>
        <w:autoSpaceDN w:val="0"/>
        <w:adjustRightInd w:val="0"/>
        <w:jc w:val="left"/>
        <w:rPr>
          <w:rFonts w:hint="eastAsia" w:ascii="宋体" w:hAnsi="宋体" w:cs="楷体"/>
          <w:kern w:val="0"/>
          <w:sz w:val="24"/>
          <w:szCs w:val="24"/>
        </w:rPr>
      </w:pPr>
    </w:p>
    <w:p w14:paraId="66DCAD3C">
      <w:pPr>
        <w:ind w:firstLine="482"/>
        <w:jc w:val="right"/>
        <w:rPr>
          <w:rFonts w:hint="eastAsia" w:ascii="宋体" w:hAnsi="宋体"/>
          <w:bCs/>
          <w:sz w:val="24"/>
        </w:rPr>
      </w:pPr>
      <w:r>
        <w:rPr>
          <w:rFonts w:hint="eastAsia" w:ascii="宋体" w:hAnsi="宋体"/>
          <w:bCs/>
          <w:sz w:val="24"/>
        </w:rPr>
        <w:t>安徽省交通建设股份有限公司</w:t>
      </w:r>
    </w:p>
    <w:p w14:paraId="753CC961">
      <w:pPr>
        <w:ind w:firstLine="482"/>
        <w:jc w:val="right"/>
        <w:rPr>
          <w:rFonts w:hint="eastAsia" w:ascii="宋体" w:hAnsi="宋体"/>
          <w:bCs/>
          <w:sz w:val="24"/>
        </w:rPr>
      </w:pPr>
    </w:p>
    <w:p w14:paraId="19A2EC45">
      <w:pPr>
        <w:ind w:firstLine="482"/>
        <w:jc w:val="right"/>
        <w:rPr>
          <w:rFonts w:hint="eastAsia" w:ascii="宋体" w:hAnsi="宋体"/>
          <w:sz w:val="24"/>
        </w:rPr>
      </w:pPr>
      <w:r>
        <w:rPr>
          <w:rFonts w:hint="eastAsia" w:ascii="宋体" w:hAnsi="宋体"/>
          <w:sz w:val="24"/>
        </w:rPr>
        <w:t>2</w:t>
      </w:r>
      <w:r>
        <w:rPr>
          <w:rFonts w:ascii="宋体" w:hAnsi="宋体"/>
          <w:sz w:val="24"/>
        </w:rPr>
        <w:t>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4</w:t>
      </w:r>
      <w:r>
        <w:rPr>
          <w:rFonts w:hint="eastAsia" w:ascii="宋体" w:hAnsi="宋体"/>
          <w:sz w:val="24"/>
        </w:rPr>
        <w:t>月</w:t>
      </w:r>
    </w:p>
    <w:p w14:paraId="1A4ECF2A">
      <w:pPr>
        <w:jc w:val="right"/>
        <w:rPr>
          <w:rFonts w:eastAsia="楷体"/>
          <w:sz w:val="24"/>
        </w:rPr>
      </w:pPr>
    </w:p>
    <w:p w14:paraId="5C6E30CC">
      <w:pPr>
        <w:rPr>
          <w:b/>
          <w:bCs/>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BBC08">
    <w:pPr>
      <w:pStyle w:val="3"/>
      <w:framePr w:wrap="auto" w:vAnchor="text" w:hAnchor="margin" w:xAlign="center" w:y="1"/>
      <w:rPr>
        <w:rStyle w:val="8"/>
      </w:rPr>
    </w:pPr>
    <w:r>
      <w:rPr>
        <w:rStyle w:val="8"/>
      </w:rPr>
      <w:fldChar w:fldCharType="begin"/>
    </w:r>
    <w:r>
      <w:rPr>
        <w:rStyle w:val="8"/>
      </w:rPr>
      <w:instrText xml:space="preserve"> PAGE </w:instrText>
    </w:r>
    <w:r>
      <w:rPr>
        <w:rStyle w:val="8"/>
      </w:rPr>
      <w:fldChar w:fldCharType="separate"/>
    </w:r>
    <w:r>
      <w:rPr>
        <w:rStyle w:val="8"/>
      </w:rPr>
      <w:t>2</w:t>
    </w:r>
    <w:r>
      <w:rPr>
        <w:rStyle w:val="8"/>
      </w:rPr>
      <w:fldChar w:fldCharType="end"/>
    </w:r>
  </w:p>
  <w:p w14:paraId="11D96EC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AD978">
    <w:pPr>
      <w:pStyle w:val="3"/>
      <w:framePr w:wrap="auto" w:vAnchor="text" w:hAnchor="margin" w:xAlign="center" w:y="1"/>
      <w:rPr>
        <w:rStyle w:val="8"/>
      </w:rPr>
    </w:pPr>
    <w:r>
      <w:rPr>
        <w:rStyle w:val="8"/>
      </w:rPr>
      <w:fldChar w:fldCharType="begin"/>
    </w:r>
    <w:r>
      <w:rPr>
        <w:rStyle w:val="8"/>
      </w:rPr>
      <w:instrText xml:space="preserve"> PAGE </w:instrText>
    </w:r>
    <w:r>
      <w:rPr>
        <w:rStyle w:val="8"/>
      </w:rPr>
      <w:fldChar w:fldCharType="end"/>
    </w:r>
  </w:p>
  <w:p w14:paraId="07F5B8D3">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8C10BF"/>
    <w:multiLevelType w:val="multilevel"/>
    <w:tmpl w:val="268C10BF"/>
    <w:lvl w:ilvl="0" w:tentative="0">
      <w:start w:val="1"/>
      <w:numFmt w:val="chineseCountingThousand"/>
      <w:lvlText w:val="第%1章"/>
      <w:lvlJc w:val="left"/>
      <w:pPr>
        <w:tabs>
          <w:tab w:val="left" w:pos="420"/>
        </w:tabs>
        <w:ind w:left="420" w:hanging="420"/>
      </w:pPr>
      <w:rPr>
        <w:rFonts w:hint="eastAsia" w:ascii="宋体" w:hAnsi="宋体" w:eastAsia="宋体" w:cs="楷体"/>
        <w:b/>
      </w:r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2483413"/>
    <w:multiLevelType w:val="multilevel"/>
    <w:tmpl w:val="32483413"/>
    <w:lvl w:ilvl="0" w:tentative="0">
      <w:start w:val="1"/>
      <w:numFmt w:val="chineseCountingThousand"/>
      <w:lvlText w:val="第%1条"/>
      <w:lvlJc w:val="left"/>
      <w:pPr>
        <w:tabs>
          <w:tab w:val="left" w:pos="1350"/>
        </w:tabs>
        <w:ind w:left="-600" w:firstLine="600"/>
      </w:pPr>
      <w:rPr>
        <w:rFonts w:hint="default"/>
      </w:rPr>
    </w:lvl>
    <w:lvl w:ilvl="1" w:tentative="0">
      <w:start w:val="1"/>
      <w:numFmt w:val="chineseCountingThousand"/>
      <w:suff w:val="nothing"/>
      <w:lvlText w:val="第%2条"/>
      <w:lvlJc w:val="left"/>
      <w:pPr>
        <w:ind w:left="-600" w:firstLine="600"/>
      </w:pPr>
      <w:rPr>
        <w:rFonts w:hint="default"/>
        <w:b/>
        <w:lang w:val="en-US"/>
      </w:rPr>
    </w:lvl>
    <w:lvl w:ilvl="2" w:tentative="0">
      <w:start w:val="1"/>
      <w:numFmt w:val="chineseCountingThousand"/>
      <w:lvlText w:val="（%3）"/>
      <w:lvlJc w:val="left"/>
      <w:pPr>
        <w:tabs>
          <w:tab w:val="left" w:pos="360"/>
        </w:tabs>
        <w:ind w:left="-480" w:firstLine="480"/>
      </w:pPr>
      <w:rPr>
        <w:rFonts w:hint="default"/>
      </w:rPr>
    </w:lvl>
    <w:lvl w:ilvl="3" w:tentative="0">
      <w:start w:val="1"/>
      <w:numFmt w:val="japaneseCounting"/>
      <w:lvlText w:val="（%4）"/>
      <w:lvlJc w:val="left"/>
      <w:pPr>
        <w:tabs>
          <w:tab w:val="left" w:pos="1575"/>
        </w:tabs>
        <w:ind w:left="1575" w:hanging="1155"/>
      </w:pPr>
      <w:rPr>
        <w:rFonts w:hint="default"/>
      </w:rPr>
    </w:lvl>
    <w:lvl w:ilvl="4" w:tentative="0">
      <w:start w:val="1"/>
      <w:numFmt w:val="lowerLetter"/>
      <w:lvlText w:val="%5)"/>
      <w:lvlJc w:val="left"/>
      <w:pPr>
        <w:tabs>
          <w:tab w:val="left" w:pos="1260"/>
        </w:tabs>
        <w:ind w:left="1260" w:hanging="420"/>
      </w:pPr>
      <w:rPr>
        <w:rFonts w:hint="eastAsia"/>
      </w:rPr>
    </w:lvl>
    <w:lvl w:ilvl="5" w:tentative="0">
      <w:start w:val="1"/>
      <w:numFmt w:val="lowerRoman"/>
      <w:lvlText w:val="%6."/>
      <w:lvlJc w:val="right"/>
      <w:pPr>
        <w:tabs>
          <w:tab w:val="left" w:pos="1680"/>
        </w:tabs>
        <w:ind w:left="1680" w:hanging="420"/>
      </w:pPr>
      <w:rPr>
        <w:rFonts w:hint="eastAsia"/>
      </w:rPr>
    </w:lvl>
    <w:lvl w:ilvl="6" w:tentative="0">
      <w:start w:val="1"/>
      <w:numFmt w:val="decimal"/>
      <w:lvlText w:val="%7."/>
      <w:lvlJc w:val="left"/>
      <w:pPr>
        <w:tabs>
          <w:tab w:val="left" w:pos="2100"/>
        </w:tabs>
        <w:ind w:left="2100" w:hanging="420"/>
      </w:pPr>
      <w:rPr>
        <w:rFonts w:hint="eastAsia"/>
      </w:rPr>
    </w:lvl>
    <w:lvl w:ilvl="7" w:tentative="0">
      <w:start w:val="1"/>
      <w:numFmt w:val="lowerLetter"/>
      <w:lvlText w:val="%8)"/>
      <w:lvlJc w:val="left"/>
      <w:pPr>
        <w:tabs>
          <w:tab w:val="left" w:pos="2520"/>
        </w:tabs>
        <w:ind w:left="2520" w:hanging="420"/>
      </w:pPr>
      <w:rPr>
        <w:rFonts w:hint="eastAsia"/>
      </w:rPr>
    </w:lvl>
    <w:lvl w:ilvl="8" w:tentative="0">
      <w:start w:val="1"/>
      <w:numFmt w:val="lowerRoman"/>
      <w:lvlText w:val="%9."/>
      <w:lvlJc w:val="right"/>
      <w:pPr>
        <w:tabs>
          <w:tab w:val="left" w:pos="2940"/>
        </w:tabs>
        <w:ind w:left="294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2MGU1NzllMGVkZDliZjI5MzZkZGMxZGM1M2I5YTcifQ=="/>
  </w:docVars>
  <w:rsids>
    <w:rsidRoot w:val="006306D1"/>
    <w:rsid w:val="00040106"/>
    <w:rsid w:val="0004433E"/>
    <w:rsid w:val="00065A9D"/>
    <w:rsid w:val="001138ED"/>
    <w:rsid w:val="00152C2F"/>
    <w:rsid w:val="001E264D"/>
    <w:rsid w:val="001E42E0"/>
    <w:rsid w:val="002371E3"/>
    <w:rsid w:val="00315FF8"/>
    <w:rsid w:val="00330BC2"/>
    <w:rsid w:val="003339B0"/>
    <w:rsid w:val="0038357B"/>
    <w:rsid w:val="00436E2E"/>
    <w:rsid w:val="00473E24"/>
    <w:rsid w:val="004A4773"/>
    <w:rsid w:val="0050207E"/>
    <w:rsid w:val="00516AED"/>
    <w:rsid w:val="00597C05"/>
    <w:rsid w:val="005D5397"/>
    <w:rsid w:val="00612D46"/>
    <w:rsid w:val="006306D1"/>
    <w:rsid w:val="006765FE"/>
    <w:rsid w:val="0069550A"/>
    <w:rsid w:val="006C00FE"/>
    <w:rsid w:val="00741BE8"/>
    <w:rsid w:val="007473EB"/>
    <w:rsid w:val="007A5B0D"/>
    <w:rsid w:val="007E3A4E"/>
    <w:rsid w:val="00822DEA"/>
    <w:rsid w:val="00823C32"/>
    <w:rsid w:val="00856D04"/>
    <w:rsid w:val="00864CC5"/>
    <w:rsid w:val="0090481C"/>
    <w:rsid w:val="00914514"/>
    <w:rsid w:val="00924983"/>
    <w:rsid w:val="009646A1"/>
    <w:rsid w:val="009708CE"/>
    <w:rsid w:val="00A05122"/>
    <w:rsid w:val="00A94D2C"/>
    <w:rsid w:val="00B73434"/>
    <w:rsid w:val="00BE359D"/>
    <w:rsid w:val="00BF6C54"/>
    <w:rsid w:val="00CD4B03"/>
    <w:rsid w:val="00D67114"/>
    <w:rsid w:val="00D73AFB"/>
    <w:rsid w:val="00DD5E37"/>
    <w:rsid w:val="00E32AA3"/>
    <w:rsid w:val="00E665FA"/>
    <w:rsid w:val="00F00630"/>
    <w:rsid w:val="00F21E6F"/>
    <w:rsid w:val="00FC3A79"/>
    <w:rsid w:val="01CD065B"/>
    <w:rsid w:val="033E4BBF"/>
    <w:rsid w:val="03962305"/>
    <w:rsid w:val="053E79FB"/>
    <w:rsid w:val="0599432F"/>
    <w:rsid w:val="06F3149A"/>
    <w:rsid w:val="0722162E"/>
    <w:rsid w:val="08630C76"/>
    <w:rsid w:val="0AEE78C3"/>
    <w:rsid w:val="0DA25D4B"/>
    <w:rsid w:val="10772B6A"/>
    <w:rsid w:val="13B10A95"/>
    <w:rsid w:val="149D49A0"/>
    <w:rsid w:val="165F2B47"/>
    <w:rsid w:val="18954E2A"/>
    <w:rsid w:val="19EF2361"/>
    <w:rsid w:val="1AB24BE1"/>
    <w:rsid w:val="1CCC06EE"/>
    <w:rsid w:val="1EA336D1"/>
    <w:rsid w:val="20FF450B"/>
    <w:rsid w:val="227452C1"/>
    <w:rsid w:val="228F5BA2"/>
    <w:rsid w:val="22BE4A0A"/>
    <w:rsid w:val="23D3133D"/>
    <w:rsid w:val="242552B4"/>
    <w:rsid w:val="26D616BC"/>
    <w:rsid w:val="26EB4ACF"/>
    <w:rsid w:val="2C6646BB"/>
    <w:rsid w:val="2C7C0414"/>
    <w:rsid w:val="2E1B3283"/>
    <w:rsid w:val="309C4B4F"/>
    <w:rsid w:val="3361798A"/>
    <w:rsid w:val="33B71CA0"/>
    <w:rsid w:val="33FCC9EA"/>
    <w:rsid w:val="34454F45"/>
    <w:rsid w:val="349BBEDB"/>
    <w:rsid w:val="379C69E5"/>
    <w:rsid w:val="39316051"/>
    <w:rsid w:val="39E906DA"/>
    <w:rsid w:val="3A5A1F5F"/>
    <w:rsid w:val="3B6A55BB"/>
    <w:rsid w:val="3BA725FA"/>
    <w:rsid w:val="3EB35B89"/>
    <w:rsid w:val="3EDF9E5A"/>
    <w:rsid w:val="3FE79265"/>
    <w:rsid w:val="3FF9169F"/>
    <w:rsid w:val="3FFEC2F4"/>
    <w:rsid w:val="41D433F2"/>
    <w:rsid w:val="41F12A49"/>
    <w:rsid w:val="429513FF"/>
    <w:rsid w:val="44AB6CB7"/>
    <w:rsid w:val="45CE5353"/>
    <w:rsid w:val="534A7FE3"/>
    <w:rsid w:val="59EFBB8C"/>
    <w:rsid w:val="5B9242D5"/>
    <w:rsid w:val="5EB427B5"/>
    <w:rsid w:val="5F9939F4"/>
    <w:rsid w:val="645465D0"/>
    <w:rsid w:val="645667E8"/>
    <w:rsid w:val="6471527D"/>
    <w:rsid w:val="64E853B8"/>
    <w:rsid w:val="65AD68DC"/>
    <w:rsid w:val="66E310D9"/>
    <w:rsid w:val="6BFE4920"/>
    <w:rsid w:val="6E7642B3"/>
    <w:rsid w:val="6FE0340A"/>
    <w:rsid w:val="6FF7C458"/>
    <w:rsid w:val="71970440"/>
    <w:rsid w:val="71CF1988"/>
    <w:rsid w:val="724C4D86"/>
    <w:rsid w:val="76524935"/>
    <w:rsid w:val="76CC0B8C"/>
    <w:rsid w:val="771B381D"/>
    <w:rsid w:val="77B74479"/>
    <w:rsid w:val="796230E1"/>
    <w:rsid w:val="7A6536B0"/>
    <w:rsid w:val="7C9B5288"/>
    <w:rsid w:val="7F3B1CC9"/>
    <w:rsid w:val="9DADA2DA"/>
    <w:rsid w:val="BFD7A5F6"/>
    <w:rsid w:val="BFF304B3"/>
    <w:rsid w:val="D7EB4690"/>
    <w:rsid w:val="D983109D"/>
    <w:rsid w:val="DEFE02FE"/>
    <w:rsid w:val="EFFFBF0B"/>
    <w:rsid w:val="F67BE749"/>
    <w:rsid w:val="F7A918B7"/>
    <w:rsid w:val="FBF2B2AD"/>
    <w:rsid w:val="FDE61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3"/>
    <w:unhideWhenUsed/>
    <w:qFormat/>
    <w:uiPriority w:val="99"/>
    <w:pPr>
      <w:tabs>
        <w:tab w:val="center" w:pos="4153"/>
        <w:tab w:val="right" w:pos="8306"/>
      </w:tabs>
      <w:snapToGrid w:val="0"/>
      <w:jc w:val="center"/>
    </w:pPr>
    <w:rPr>
      <w:sz w:val="18"/>
      <w:szCs w:val="18"/>
    </w:rPr>
  </w:style>
  <w:style w:type="paragraph" w:styleId="5">
    <w:name w:val="annotation subject"/>
    <w:basedOn w:val="2"/>
    <w:next w:val="2"/>
    <w:link w:val="15"/>
    <w:semiHidden/>
    <w:unhideWhenUsed/>
    <w:qFormat/>
    <w:uiPriority w:val="99"/>
    <w:rPr>
      <w:b/>
      <w:bCs/>
    </w:rPr>
  </w:style>
  <w:style w:type="character" w:styleId="8">
    <w:name w:val="page number"/>
    <w:qFormat/>
    <w:uiPriority w:val="0"/>
  </w:style>
  <w:style w:type="character" w:styleId="9">
    <w:name w:val="annotation reference"/>
    <w:basedOn w:val="7"/>
    <w:semiHidden/>
    <w:unhideWhenUsed/>
    <w:qFormat/>
    <w:uiPriority w:val="99"/>
    <w:rPr>
      <w:sz w:val="21"/>
      <w:szCs w:val="21"/>
    </w:rPr>
  </w:style>
  <w:style w:type="character" w:customStyle="1" w:styleId="10">
    <w:name w:val="页脚 字符"/>
    <w:basedOn w:val="7"/>
    <w:link w:val="3"/>
    <w:qFormat/>
    <w:uiPriority w:val="0"/>
    <w:rPr>
      <w:rFonts w:ascii="Times New Roman" w:hAnsi="Times New Roman" w:eastAsia="宋体" w:cs="Times New Roman"/>
      <w:sz w:val="18"/>
      <w:szCs w:val="18"/>
    </w:rPr>
  </w:style>
  <w:style w:type="paragraph" w:styleId="11">
    <w:name w:val="List Paragraph"/>
    <w:basedOn w:val="1"/>
    <w:qFormat/>
    <w:uiPriority w:val="99"/>
    <w:pPr>
      <w:ind w:firstLine="420" w:firstLineChars="200"/>
    </w:pPr>
  </w:style>
  <w:style w:type="paragraph" w:customStyle="1" w:styleId="12">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3">
    <w:name w:val="页眉 字符"/>
    <w:basedOn w:val="7"/>
    <w:link w:val="4"/>
    <w:qFormat/>
    <w:uiPriority w:val="99"/>
    <w:rPr>
      <w:rFonts w:ascii="Times New Roman" w:hAnsi="Times New Roman" w:eastAsia="宋体" w:cs="Times New Roman"/>
      <w:kern w:val="2"/>
      <w:sz w:val="18"/>
      <w:szCs w:val="18"/>
    </w:rPr>
  </w:style>
  <w:style w:type="character" w:customStyle="1" w:styleId="14">
    <w:name w:val="批注文字 字符"/>
    <w:basedOn w:val="7"/>
    <w:link w:val="2"/>
    <w:qFormat/>
    <w:uiPriority w:val="99"/>
    <w:rPr>
      <w:rFonts w:ascii="Times New Roman" w:hAnsi="Times New Roman" w:eastAsia="宋体" w:cs="Times New Roman"/>
      <w:kern w:val="2"/>
      <w:sz w:val="21"/>
    </w:rPr>
  </w:style>
  <w:style w:type="character" w:customStyle="1" w:styleId="15">
    <w:name w:val="批注主题 字符"/>
    <w:basedOn w:val="14"/>
    <w:link w:val="5"/>
    <w:semiHidden/>
    <w:qFormat/>
    <w:uiPriority w:val="99"/>
    <w:rPr>
      <w:rFonts w:ascii="Times New Roman" w:hAnsi="Times New Roman" w:eastAsia="宋体" w:cs="Times New Roman"/>
      <w:b/>
      <w:bCs/>
      <w:kern w:val="2"/>
      <w:sz w:val="21"/>
    </w:rPr>
  </w:style>
  <w:style w:type="paragraph" w:customStyle="1" w:styleId="16">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17">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b9cef2a6-75f5-40b5-96b0-19d2c8772ae9</errorID>
      <errorWord>有限公司（下</errorWord>
      <group>L1_Word</group>
      <groupName>字词问题</groupName>
      <ability>L2_Typo</ability>
      <abilityName>字词错误</abilityName>
      <candidateList>
        <item>有限公司（以下</item>
      </candidateList>
      <explain/>
      <paraID>2D4A3BCA</paraID>
      <start>16</start>
      <end>23</end>
      <status>modified</status>
      <modifiedWord>有限公司（以下</modifiedWord>
      <trackRevisions>false</trackRevisions>
    </reviewItem>
    <reviewItem>
      <errorID>73ada167-2bb2-4791-b893-324602ae9b6c</errorID>
      <errorWord>《安徽省交通建设股份有限公司章程》（以下简称“《公司章程》”）</errorWord>
      <group>L1_Knowledge</group>
      <groupName>知识性问题</groupName>
      <ability>L2_Knowledge</ability>
      <abilityName>其他知识</abilityName>
      <candidateList>
        <item>《安徽省交通建设股份有限公司章程》（以下简称《公司章程》）</item>
      </candidateList>
      <explain>疑似政策文件、法律法规名称等书写不规范，请注意检查。</explain>
      <paraID>2D4A3BCA</paraID>
      <start>83</start>
      <end>112</end>
      <status>modified</status>
      <modifiedWord>《安徽省交通建设股份有限公司章程》（以下简称《公司章程》）</modifiedWord>
      <trackRevisions>false</trackRevisions>
    </reviewItem>
    <reviewItem>
      <errorID>343fbc48-af68-420e-8c50-cfcba0ca90b5</errorID>
      <errorWord>制订</errorWord>
      <group>L1_Word</group>
      <groupName>字词问题</groupName>
      <ability>L2_Typo</ability>
      <abilityName>字词错误</abilityName>
      <candidateList>
        <item>制定</item>
      </candidateList>
      <explain>〈动〉定出（法律、规程、政策等）：～宪法｜～学会章程。</explain>
      <paraID>2D4A3BCA</paraID>
      <start>129</start>
      <end>131</end>
      <status>modified</status>
      <modifiedWord>制定</modifiedWord>
      <trackRevisions>false</trackRevisions>
    </reviewItem>
    <reviewItem>
      <errorID>4e3df2f7-c3ad-46a0-a9ca-cab4730fb1b0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11D7478C</paraID>
      <start>0</start>
      <end>3</end>
      <status>modified</status>
      <modifiedWord>（一）</modifiedWord>
      <trackRevisions>false</trackRevisions>
    </reviewItem>
    <reviewItem>
      <errorID>4458c2e8-84aa-4aff-a1e5-0933538315b5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AE07BBD</paraID>
      <start>0</start>
      <end>3</end>
      <status>modified</status>
      <modifiedWord>（二）</modifiedWord>
      <trackRevisions>false</trackRevisions>
    </reviewItem>
    <reviewItem>
      <errorID>0a194885-4f69-4b7d-8c07-1052bdacdd8c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60F7A5C6</paraID>
      <start>0</start>
      <end>3</end>
      <status>modified</status>
      <modifiedWord>（三）</modifiedWord>
      <trackRevisions>false</trackRevisions>
    </reviewItem>
    <reviewItem>
      <errorID>bbdb3cfb-2e0a-460a-ae94-1482ac5f2cd7</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2411C705</paraID>
      <start>0</start>
      <end>3</end>
      <status>modified</status>
      <modifiedWord>（四）</modifiedWord>
      <trackRevisions>false</trackRevisions>
    </reviewItem>
    <reviewItem>
      <errorID>217d6179-5ae4-4bdb-9504-7b5b6e3e7a9b</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6F844E9</paraID>
      <start>33</start>
      <end>34</end>
      <status>unmodified</status>
      <modifiedWord/>
      <trackRevisions>false</trackRevisions>
    </reviewItem>
    <reviewItem>
      <errorID>88ae4c79-0747-49fe-aa49-8bc0e706cdcc</errorID>
      <errorWord>法律、法规</errorWord>
      <group>L1_Word</group>
      <groupName>字词问题</groupName>
      <ability>L2_Typo</ability>
      <abilityName>字词错误</abilityName>
      <candidateList>
        <item>法律法规</item>
      </candidateList>
      <explain/>
      <paraID>61926221</paraID>
      <start>16</start>
      <end>20</end>
      <status>modified</status>
      <modifiedWord>法律法规</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95ef4-943b-40ff-99ca-39c14dd03283}">
  <ds:schemaRefs/>
</ds:datastoreItem>
</file>

<file path=customXml/itemProps2.xml><?xml version="1.0" encoding="utf-8"?>
<ds:datastoreItem xmlns:ds="http://schemas.openxmlformats.org/officeDocument/2006/customXml" ds:itemID="{26C5F71E-0DEA-4DC8-8552-249B45C17B89}">
  <ds:schemaRefs/>
</ds:datastoreItem>
</file>

<file path=docProps/app.xml><?xml version="1.0" encoding="utf-8"?>
<Properties xmlns="http://schemas.openxmlformats.org/officeDocument/2006/extended-properties" xmlns:vt="http://schemas.openxmlformats.org/officeDocument/2006/docPropsVTypes">
  <Template>Normal</Template>
  <Pages>3</Pages>
  <Words>1563</Words>
  <Characters>1566</Characters>
  <Lines>54</Lines>
  <Paragraphs>36</Paragraphs>
  <TotalTime>7</TotalTime>
  <ScaleCrop>false</ScaleCrop>
  <LinksUpToDate>false</LinksUpToDate>
  <CharactersWithSpaces>1602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2025-11-25T07:52:00Z</dcterms:created>
  <dc:creator>gh</dc:creator>
  <cp:lastModifiedBy>夏阿花</cp:lastModifiedBy>
  <dcterms:modified xsi:type="dcterms:W3CDTF">2026-04-25T08:32:12Z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6D942D3E48654CFDBB712846E8DF3929_12</vt:lpwstr>
  </property>
  <property fmtid="{D5CDD505-2E9C-101B-9397-08002B2CF9AE}" pid="4" name="KSOTemplateDocerSaveRecord">
    <vt:lpwstr>eyJoZGlkIjoiYWRiMTM0ZWMzMDZmNmY4MmRkZTQ4YWJmYzY4NDBjYjMiLCJ1c2VySWQiOiIzMDQ1NjczMDgifQ==</vt:lpwstr>
  </property>
</Properties>
</file>