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218" w:rsidRPr="00791125" w:rsidRDefault="00517218" w:rsidP="00791125">
      <w:pPr>
        <w:spacing w:afterLines="50" w:after="156"/>
        <w:jc w:val="center"/>
        <w:rPr>
          <w:rFonts w:ascii="黑体" w:eastAsia="黑体" w:hAnsi="黑体"/>
          <w:b/>
          <w:sz w:val="36"/>
          <w:szCs w:val="36"/>
        </w:rPr>
      </w:pPr>
      <w:r w:rsidRPr="00791125">
        <w:rPr>
          <w:rFonts w:ascii="黑体" w:eastAsia="黑体" w:hAnsi="黑体" w:hint="eastAsia"/>
          <w:b/>
          <w:sz w:val="36"/>
          <w:szCs w:val="36"/>
        </w:rPr>
        <w:t>安徽省交通建设股份有限公司董事会</w:t>
      </w:r>
    </w:p>
    <w:p w:rsidR="008A49CB" w:rsidRPr="00791125" w:rsidRDefault="00517218" w:rsidP="00791125">
      <w:pPr>
        <w:spacing w:afterLines="50" w:after="156"/>
        <w:jc w:val="center"/>
        <w:rPr>
          <w:rFonts w:ascii="黑体" w:eastAsia="黑体" w:hAnsi="黑体"/>
          <w:b/>
          <w:sz w:val="36"/>
          <w:szCs w:val="36"/>
        </w:rPr>
      </w:pPr>
      <w:r w:rsidRPr="00791125">
        <w:rPr>
          <w:rFonts w:ascii="黑体" w:eastAsia="黑体" w:hAnsi="黑体" w:hint="eastAsia"/>
          <w:b/>
          <w:sz w:val="36"/>
          <w:szCs w:val="36"/>
        </w:rPr>
        <w:t>关于</w:t>
      </w:r>
      <w:r w:rsidR="00631E1E">
        <w:rPr>
          <w:rFonts w:ascii="黑体" w:eastAsia="黑体" w:hAnsi="黑体" w:hint="eastAsia"/>
          <w:b/>
          <w:sz w:val="36"/>
          <w:szCs w:val="36"/>
        </w:rPr>
        <w:t>2025</w:t>
      </w:r>
      <w:r w:rsidRPr="00791125">
        <w:rPr>
          <w:rFonts w:ascii="黑体" w:eastAsia="黑体" w:hAnsi="黑体" w:hint="eastAsia"/>
          <w:b/>
          <w:sz w:val="36"/>
          <w:szCs w:val="36"/>
        </w:rPr>
        <w:t>年度</w:t>
      </w:r>
      <w:bookmarkStart w:id="0" w:name="OLE_LINK13"/>
      <w:bookmarkStart w:id="1" w:name="OLE_LINK14"/>
      <w:r w:rsidR="00B93F7A" w:rsidRPr="00B93F7A">
        <w:rPr>
          <w:rFonts w:ascii="黑体" w:eastAsia="黑体" w:hAnsi="黑体" w:hint="eastAsia"/>
          <w:b/>
          <w:sz w:val="36"/>
          <w:szCs w:val="36"/>
        </w:rPr>
        <w:t>带有解释性说明</w:t>
      </w:r>
      <w:r w:rsidR="006F49CB">
        <w:rPr>
          <w:rFonts w:ascii="黑体" w:eastAsia="黑体" w:hAnsi="黑体" w:hint="eastAsia"/>
          <w:b/>
          <w:sz w:val="36"/>
          <w:szCs w:val="36"/>
        </w:rPr>
        <w:t>的</w:t>
      </w:r>
      <w:r w:rsidRPr="00791125">
        <w:rPr>
          <w:rFonts w:ascii="黑体" w:eastAsia="黑体" w:hAnsi="黑体" w:hint="eastAsia"/>
          <w:b/>
          <w:sz w:val="36"/>
          <w:szCs w:val="36"/>
        </w:rPr>
        <w:t>无保留意见</w:t>
      </w:r>
      <w:bookmarkEnd w:id="0"/>
      <w:bookmarkEnd w:id="1"/>
      <w:r w:rsidR="00EA4AA6">
        <w:rPr>
          <w:rFonts w:ascii="黑体" w:eastAsia="黑体" w:hAnsi="黑体" w:hint="eastAsia"/>
          <w:b/>
          <w:sz w:val="36"/>
          <w:szCs w:val="36"/>
        </w:rPr>
        <w:t>审计报告和带有强调事项段的无保留意见</w:t>
      </w:r>
      <w:r w:rsidR="00791125">
        <w:rPr>
          <w:rFonts w:ascii="黑体" w:eastAsia="黑体" w:hAnsi="黑体" w:hint="eastAsia"/>
          <w:b/>
          <w:sz w:val="36"/>
          <w:szCs w:val="36"/>
        </w:rPr>
        <w:t>内部控制</w:t>
      </w:r>
      <w:r w:rsidRPr="00791125">
        <w:rPr>
          <w:rFonts w:ascii="黑体" w:eastAsia="黑体" w:hAnsi="黑体" w:hint="eastAsia"/>
          <w:b/>
          <w:sz w:val="36"/>
          <w:szCs w:val="36"/>
        </w:rPr>
        <w:t>审计报告涉及事项的专项说明</w:t>
      </w:r>
    </w:p>
    <w:p w:rsidR="00517218" w:rsidRDefault="00BF0E02" w:rsidP="00BF0E02">
      <w:pPr>
        <w:spacing w:line="360" w:lineRule="auto"/>
        <w:ind w:firstLineChars="200" w:firstLine="480"/>
        <w:rPr>
          <w:rFonts w:ascii="宋体" w:eastAsia="宋体" w:hAnsi="宋体"/>
          <w:sz w:val="24"/>
          <w:szCs w:val="24"/>
        </w:rPr>
      </w:pPr>
      <w:r w:rsidRPr="00593182">
        <w:rPr>
          <w:rFonts w:ascii="宋体" w:eastAsia="宋体" w:hAnsi="宋体"/>
          <w:sz w:val="24"/>
          <w:szCs w:val="24"/>
        </w:rPr>
        <w:t>安徽省交通建设股份有限公司（以下简称“公司</w:t>
      </w:r>
      <w:r w:rsidR="00FD2E87">
        <w:rPr>
          <w:rFonts w:ascii="宋体" w:eastAsia="宋体" w:hAnsi="宋体"/>
          <w:sz w:val="24"/>
          <w:szCs w:val="24"/>
        </w:rPr>
        <w:t>”或“交建股份”</w:t>
      </w:r>
      <w:r w:rsidRPr="00593182">
        <w:rPr>
          <w:rFonts w:ascii="宋体" w:eastAsia="宋体" w:hAnsi="宋体"/>
          <w:sz w:val="24"/>
          <w:szCs w:val="24"/>
        </w:rPr>
        <w:t>）</w:t>
      </w:r>
      <w:r>
        <w:rPr>
          <w:rFonts w:ascii="宋体" w:eastAsia="宋体" w:hAnsi="宋体"/>
          <w:sz w:val="24"/>
          <w:szCs w:val="24"/>
        </w:rPr>
        <w:t>聘请</w:t>
      </w:r>
      <w:r w:rsidR="00791125" w:rsidRPr="00593182">
        <w:rPr>
          <w:rFonts w:ascii="宋体" w:eastAsia="宋体" w:hAnsi="宋体" w:hint="eastAsia"/>
          <w:sz w:val="24"/>
          <w:szCs w:val="24"/>
        </w:rPr>
        <w:t>容诚会计师事务所（特殊普通合伙）</w:t>
      </w:r>
      <w:r w:rsidR="00517218" w:rsidRPr="00593182">
        <w:rPr>
          <w:rFonts w:ascii="宋体" w:eastAsia="宋体" w:hAnsi="宋体"/>
          <w:sz w:val="24"/>
          <w:szCs w:val="24"/>
        </w:rPr>
        <w:t>（以下简称“</w:t>
      </w:r>
      <w:bookmarkStart w:id="2" w:name="OLE_LINK1"/>
      <w:r w:rsidR="00791125" w:rsidRPr="00593182">
        <w:rPr>
          <w:rFonts w:ascii="宋体" w:eastAsia="宋体" w:hAnsi="宋体"/>
          <w:sz w:val="24"/>
          <w:szCs w:val="24"/>
        </w:rPr>
        <w:t>容诚</w:t>
      </w:r>
      <w:r>
        <w:rPr>
          <w:rFonts w:ascii="宋体" w:eastAsia="宋体" w:hAnsi="宋体"/>
          <w:sz w:val="24"/>
          <w:szCs w:val="24"/>
        </w:rPr>
        <w:t>所</w:t>
      </w:r>
      <w:bookmarkEnd w:id="2"/>
      <w:r w:rsidR="00517218" w:rsidRPr="00593182">
        <w:rPr>
          <w:rFonts w:ascii="宋体" w:eastAsia="宋体" w:hAnsi="宋体"/>
          <w:sz w:val="24"/>
          <w:szCs w:val="24"/>
        </w:rPr>
        <w:t>”</w:t>
      </w:r>
      <w:r>
        <w:rPr>
          <w:rFonts w:ascii="宋体" w:eastAsia="宋体" w:hAnsi="宋体"/>
          <w:sz w:val="24"/>
          <w:szCs w:val="24"/>
        </w:rPr>
        <w:t>）</w:t>
      </w:r>
      <w:r w:rsidRPr="00BF0E02">
        <w:rPr>
          <w:rFonts w:ascii="宋体" w:eastAsia="宋体" w:hAnsi="宋体" w:hint="eastAsia"/>
          <w:sz w:val="24"/>
          <w:szCs w:val="24"/>
        </w:rPr>
        <w:t>为公司</w:t>
      </w:r>
      <w:r w:rsidR="00400380">
        <w:rPr>
          <w:rFonts w:ascii="宋体" w:eastAsia="宋体" w:hAnsi="宋体" w:hint="eastAsia"/>
          <w:sz w:val="24"/>
          <w:szCs w:val="24"/>
        </w:rPr>
        <w:t>2025</w:t>
      </w:r>
      <w:r w:rsidRPr="00BF0E02">
        <w:rPr>
          <w:rFonts w:ascii="宋体" w:eastAsia="宋体" w:hAnsi="宋体" w:hint="eastAsia"/>
          <w:sz w:val="24"/>
          <w:szCs w:val="24"/>
        </w:rPr>
        <w:t>年度财务和内部控制审计机构，</w:t>
      </w:r>
      <w:r w:rsidRPr="00593182">
        <w:rPr>
          <w:rFonts w:ascii="宋体" w:eastAsia="宋体" w:hAnsi="宋体"/>
          <w:sz w:val="24"/>
          <w:szCs w:val="24"/>
        </w:rPr>
        <w:t>容诚</w:t>
      </w:r>
      <w:r>
        <w:rPr>
          <w:rFonts w:ascii="宋体" w:eastAsia="宋体" w:hAnsi="宋体"/>
          <w:sz w:val="24"/>
          <w:szCs w:val="24"/>
        </w:rPr>
        <w:t>所对公司</w:t>
      </w:r>
      <w:r w:rsidR="00517218" w:rsidRPr="00593182">
        <w:rPr>
          <w:rFonts w:ascii="宋体" w:eastAsia="宋体" w:hAnsi="宋体"/>
          <w:sz w:val="24"/>
          <w:szCs w:val="24"/>
        </w:rPr>
        <w:t>2025年度</w:t>
      </w:r>
      <w:r>
        <w:rPr>
          <w:rFonts w:ascii="宋体" w:eastAsia="宋体" w:hAnsi="宋体"/>
          <w:sz w:val="24"/>
          <w:szCs w:val="24"/>
        </w:rPr>
        <w:t>审计报告</w:t>
      </w:r>
      <w:r w:rsidR="004D6A9D">
        <w:rPr>
          <w:rFonts w:ascii="宋体" w:eastAsia="宋体" w:hAnsi="宋体"/>
          <w:sz w:val="24"/>
          <w:szCs w:val="24"/>
        </w:rPr>
        <w:t>出具了</w:t>
      </w:r>
      <w:r w:rsidR="004D6A9D" w:rsidRPr="004D6A9D">
        <w:rPr>
          <w:rFonts w:ascii="宋体" w:eastAsia="宋体" w:hAnsi="宋体" w:hint="eastAsia"/>
          <w:sz w:val="24"/>
          <w:szCs w:val="24"/>
        </w:rPr>
        <w:t>带有解释性说明的无保留意见</w:t>
      </w:r>
      <w:r w:rsidR="004D6A9D">
        <w:rPr>
          <w:rFonts w:ascii="宋体" w:eastAsia="宋体" w:hAnsi="宋体" w:hint="eastAsia"/>
          <w:sz w:val="24"/>
          <w:szCs w:val="24"/>
        </w:rPr>
        <w:t>，对公司</w:t>
      </w:r>
      <w:r w:rsidR="00517218" w:rsidRPr="00593182">
        <w:rPr>
          <w:rFonts w:ascii="宋体" w:eastAsia="宋体" w:hAnsi="宋体"/>
          <w:sz w:val="24"/>
          <w:szCs w:val="24"/>
        </w:rPr>
        <w:t>内部控制</w:t>
      </w:r>
      <w:r>
        <w:rPr>
          <w:rFonts w:ascii="宋体" w:eastAsia="宋体" w:hAnsi="宋体"/>
          <w:sz w:val="24"/>
          <w:szCs w:val="24"/>
        </w:rPr>
        <w:t>报告</w:t>
      </w:r>
      <w:r w:rsidR="00517218" w:rsidRPr="00593182">
        <w:rPr>
          <w:rFonts w:ascii="宋体" w:eastAsia="宋体" w:hAnsi="宋体"/>
          <w:sz w:val="24"/>
          <w:szCs w:val="24"/>
        </w:rPr>
        <w:t>出具了带强调事项段</w:t>
      </w:r>
      <w:r w:rsidR="00631E1E">
        <w:rPr>
          <w:rFonts w:ascii="宋体" w:eastAsia="宋体" w:hAnsi="宋体"/>
          <w:sz w:val="24"/>
          <w:szCs w:val="24"/>
        </w:rPr>
        <w:t>的</w:t>
      </w:r>
      <w:r w:rsidR="00517218" w:rsidRPr="00593182">
        <w:rPr>
          <w:rFonts w:ascii="宋体" w:eastAsia="宋体" w:hAnsi="宋体"/>
          <w:sz w:val="24"/>
          <w:szCs w:val="24"/>
        </w:rPr>
        <w:t>无保留意见。根据《公开发行证券的公司信息披露编报规则第14号</w:t>
      </w:r>
      <w:r w:rsidR="006F49CB">
        <w:rPr>
          <w:rFonts w:ascii="宋体" w:eastAsia="宋体" w:hAnsi="宋体"/>
          <w:sz w:val="24"/>
          <w:szCs w:val="24"/>
        </w:rPr>
        <w:t>——</w:t>
      </w:r>
      <w:r w:rsidR="00517218" w:rsidRPr="00593182">
        <w:rPr>
          <w:rFonts w:ascii="宋体" w:eastAsia="宋体" w:hAnsi="宋体"/>
          <w:sz w:val="24"/>
          <w:szCs w:val="24"/>
        </w:rPr>
        <w:t>非标准无保留审计意见涉及事项的处理》及《上</w:t>
      </w:r>
      <w:r w:rsidR="006F49CB">
        <w:rPr>
          <w:rFonts w:ascii="宋体" w:eastAsia="宋体" w:hAnsi="宋体"/>
          <w:sz w:val="24"/>
          <w:szCs w:val="24"/>
        </w:rPr>
        <w:t>海证券交易所股票上市规则》等相关规定，公司董事会对</w:t>
      </w:r>
      <w:proofErr w:type="gramStart"/>
      <w:r w:rsidR="006F49CB">
        <w:rPr>
          <w:rFonts w:ascii="宋体" w:eastAsia="宋体" w:hAnsi="宋体"/>
          <w:sz w:val="24"/>
          <w:szCs w:val="24"/>
        </w:rPr>
        <w:t>带强调</w:t>
      </w:r>
      <w:proofErr w:type="gramEnd"/>
      <w:r w:rsidR="006F49CB">
        <w:rPr>
          <w:rFonts w:ascii="宋体" w:eastAsia="宋体" w:hAnsi="宋体"/>
          <w:sz w:val="24"/>
          <w:szCs w:val="24"/>
        </w:rPr>
        <w:t>事项段的</w:t>
      </w:r>
      <w:r w:rsidR="00517218" w:rsidRPr="00593182">
        <w:rPr>
          <w:rFonts w:ascii="宋体" w:eastAsia="宋体" w:hAnsi="宋体"/>
          <w:sz w:val="24"/>
          <w:szCs w:val="24"/>
        </w:rPr>
        <w:t>无保留意见</w:t>
      </w:r>
      <w:r w:rsidR="006F49CB">
        <w:rPr>
          <w:rFonts w:ascii="宋体" w:eastAsia="宋体" w:hAnsi="宋体"/>
          <w:sz w:val="24"/>
          <w:szCs w:val="24"/>
        </w:rPr>
        <w:t>审计报告、</w:t>
      </w:r>
      <w:r w:rsidR="00517218" w:rsidRPr="00593182">
        <w:rPr>
          <w:rFonts w:ascii="宋体" w:eastAsia="宋体" w:hAnsi="宋体"/>
          <w:sz w:val="24"/>
          <w:szCs w:val="24"/>
        </w:rPr>
        <w:t>内部控制审计报告涉及事项进行专项说明如下：</w:t>
      </w:r>
    </w:p>
    <w:p w:rsidR="00593182" w:rsidRDefault="00593182" w:rsidP="00593182">
      <w:pPr>
        <w:spacing w:line="360" w:lineRule="auto"/>
        <w:ind w:firstLineChars="200" w:firstLine="482"/>
        <w:rPr>
          <w:rFonts w:ascii="宋体" w:eastAsia="宋体" w:hAnsi="宋体"/>
          <w:b/>
          <w:sz w:val="24"/>
          <w:szCs w:val="24"/>
        </w:rPr>
      </w:pPr>
      <w:r w:rsidRPr="00593182">
        <w:rPr>
          <w:rFonts w:ascii="宋体" w:eastAsia="宋体" w:hAnsi="宋体" w:hint="eastAsia"/>
          <w:b/>
          <w:sz w:val="24"/>
          <w:szCs w:val="24"/>
        </w:rPr>
        <w:t>一、</w:t>
      </w:r>
      <w:bookmarkStart w:id="3" w:name="OLE_LINK15"/>
      <w:bookmarkStart w:id="4" w:name="OLE_LINK16"/>
      <w:bookmarkStart w:id="5" w:name="OLE_LINK2"/>
      <w:r w:rsidR="00FD640E" w:rsidRPr="00FD640E">
        <w:rPr>
          <w:rFonts w:ascii="宋体" w:eastAsia="宋体" w:hAnsi="宋体" w:hint="eastAsia"/>
          <w:b/>
          <w:sz w:val="24"/>
          <w:szCs w:val="24"/>
        </w:rPr>
        <w:t>带有解释性说明的无保留意见</w:t>
      </w:r>
      <w:bookmarkEnd w:id="3"/>
      <w:bookmarkEnd w:id="4"/>
      <w:r w:rsidR="006F49CB">
        <w:rPr>
          <w:rFonts w:ascii="宋体" w:eastAsia="宋体" w:hAnsi="宋体" w:hint="eastAsia"/>
          <w:b/>
          <w:sz w:val="24"/>
          <w:szCs w:val="24"/>
        </w:rPr>
        <w:t>审计报告</w:t>
      </w:r>
      <w:bookmarkEnd w:id="5"/>
      <w:r w:rsidR="00FD640E">
        <w:rPr>
          <w:rFonts w:ascii="宋体" w:eastAsia="宋体" w:hAnsi="宋体" w:hint="eastAsia"/>
          <w:b/>
          <w:sz w:val="24"/>
          <w:szCs w:val="24"/>
        </w:rPr>
        <w:t>和</w:t>
      </w:r>
      <w:proofErr w:type="gramStart"/>
      <w:r w:rsidR="00FD640E" w:rsidRPr="00593182">
        <w:rPr>
          <w:rFonts w:ascii="宋体" w:eastAsia="宋体" w:hAnsi="宋体" w:hint="eastAsia"/>
          <w:b/>
          <w:sz w:val="24"/>
          <w:szCs w:val="24"/>
        </w:rPr>
        <w:t>带强调</w:t>
      </w:r>
      <w:proofErr w:type="gramEnd"/>
      <w:r w:rsidR="00FD640E" w:rsidRPr="00593182">
        <w:rPr>
          <w:rFonts w:ascii="宋体" w:eastAsia="宋体" w:hAnsi="宋体" w:hint="eastAsia"/>
          <w:b/>
          <w:sz w:val="24"/>
          <w:szCs w:val="24"/>
        </w:rPr>
        <w:t>事项段的无保留意见</w:t>
      </w:r>
      <w:r w:rsidR="006F49CB">
        <w:rPr>
          <w:rFonts w:ascii="宋体" w:eastAsia="宋体" w:hAnsi="宋体" w:hint="eastAsia"/>
          <w:b/>
          <w:sz w:val="24"/>
          <w:szCs w:val="24"/>
        </w:rPr>
        <w:t>内部控制审计报告</w:t>
      </w:r>
      <w:r w:rsidR="00D90261">
        <w:rPr>
          <w:rFonts w:ascii="宋体" w:eastAsia="宋体" w:hAnsi="宋体" w:hint="eastAsia"/>
          <w:b/>
          <w:sz w:val="24"/>
          <w:szCs w:val="24"/>
        </w:rPr>
        <w:t>所涉及</w:t>
      </w:r>
      <w:r w:rsidR="006F49CB">
        <w:rPr>
          <w:rFonts w:ascii="宋体" w:eastAsia="宋体" w:hAnsi="宋体" w:hint="eastAsia"/>
          <w:b/>
          <w:sz w:val="24"/>
          <w:szCs w:val="24"/>
        </w:rPr>
        <w:t>事项的基本</w:t>
      </w:r>
      <w:r w:rsidRPr="00593182">
        <w:rPr>
          <w:rFonts w:ascii="宋体" w:eastAsia="宋体" w:hAnsi="宋体" w:hint="eastAsia"/>
          <w:b/>
          <w:sz w:val="24"/>
          <w:szCs w:val="24"/>
        </w:rPr>
        <w:t>情况</w:t>
      </w:r>
    </w:p>
    <w:p w:rsidR="00B93F7A" w:rsidRDefault="006F49CB" w:rsidP="004D6A9D">
      <w:pPr>
        <w:spacing w:line="360" w:lineRule="auto"/>
        <w:ind w:firstLineChars="200" w:firstLine="482"/>
        <w:rPr>
          <w:rFonts w:ascii="宋体" w:eastAsia="宋体" w:hAnsi="宋体"/>
          <w:b/>
          <w:sz w:val="24"/>
          <w:szCs w:val="24"/>
        </w:rPr>
      </w:pPr>
      <w:r>
        <w:rPr>
          <w:rFonts w:ascii="宋体" w:eastAsia="宋体" w:hAnsi="宋体" w:hint="eastAsia"/>
          <w:b/>
          <w:sz w:val="24"/>
          <w:szCs w:val="24"/>
        </w:rPr>
        <w:t>（一）</w:t>
      </w:r>
      <w:bookmarkStart w:id="6" w:name="OLE_LINK5"/>
      <w:bookmarkStart w:id="7" w:name="OLE_LINK6"/>
      <w:bookmarkStart w:id="8" w:name="OLE_LINK9"/>
      <w:bookmarkStart w:id="9" w:name="OLE_LINK10"/>
      <w:bookmarkStart w:id="10" w:name="OLE_LINK3"/>
      <w:bookmarkStart w:id="11" w:name="OLE_LINK7"/>
      <w:r w:rsidR="00FD640E" w:rsidRPr="00FD640E">
        <w:rPr>
          <w:rFonts w:ascii="宋体" w:eastAsia="宋体" w:hAnsi="宋体" w:hint="eastAsia"/>
          <w:b/>
          <w:sz w:val="24"/>
          <w:szCs w:val="24"/>
        </w:rPr>
        <w:t>带有解释性说明的</w:t>
      </w:r>
      <w:bookmarkEnd w:id="6"/>
      <w:bookmarkEnd w:id="7"/>
      <w:r w:rsidR="00FD640E" w:rsidRPr="00FD640E">
        <w:rPr>
          <w:rFonts w:ascii="宋体" w:eastAsia="宋体" w:hAnsi="宋体" w:hint="eastAsia"/>
          <w:b/>
          <w:sz w:val="24"/>
          <w:szCs w:val="24"/>
        </w:rPr>
        <w:t>无保留意见</w:t>
      </w:r>
      <w:bookmarkEnd w:id="8"/>
      <w:bookmarkEnd w:id="9"/>
      <w:r w:rsidR="00FD640E">
        <w:rPr>
          <w:rFonts w:ascii="宋体" w:eastAsia="宋体" w:hAnsi="宋体" w:hint="eastAsia"/>
          <w:b/>
          <w:sz w:val="24"/>
          <w:szCs w:val="24"/>
        </w:rPr>
        <w:t>审计报告</w:t>
      </w:r>
      <w:r w:rsidR="00FD640E" w:rsidRPr="00FD640E">
        <w:rPr>
          <w:rFonts w:ascii="宋体" w:eastAsia="宋体" w:hAnsi="宋体" w:hint="eastAsia"/>
          <w:b/>
          <w:sz w:val="24"/>
          <w:szCs w:val="24"/>
        </w:rPr>
        <w:t>涉及的主要内容</w:t>
      </w:r>
    </w:p>
    <w:p w:rsidR="002C0DAB" w:rsidRPr="001D185D" w:rsidRDefault="004D6A9D" w:rsidP="001D185D">
      <w:pPr>
        <w:spacing w:line="360" w:lineRule="auto"/>
        <w:ind w:firstLineChars="200" w:firstLine="480"/>
        <w:rPr>
          <w:rFonts w:asciiTheme="minorEastAsia" w:hAnsiTheme="minorEastAsia"/>
          <w:bCs/>
          <w:sz w:val="24"/>
        </w:rPr>
      </w:pPr>
      <w:bookmarkStart w:id="12" w:name="OLE_LINK8"/>
      <w:bookmarkStart w:id="13" w:name="OLE_LINK17"/>
      <w:bookmarkEnd w:id="10"/>
      <w:bookmarkEnd w:id="11"/>
      <w:r w:rsidRPr="001D185D">
        <w:rPr>
          <w:rFonts w:asciiTheme="minorEastAsia" w:hAnsiTheme="minorEastAsia"/>
          <w:sz w:val="24"/>
          <w:szCs w:val="24"/>
        </w:rPr>
        <w:t>在本次财务报告审计中</w:t>
      </w:r>
      <w:r w:rsidR="001D185D" w:rsidRPr="001D185D">
        <w:rPr>
          <w:rFonts w:asciiTheme="minorEastAsia" w:hAnsiTheme="minorEastAsia" w:hint="eastAsia"/>
          <w:sz w:val="24"/>
          <w:szCs w:val="24"/>
        </w:rPr>
        <w:t>带有解释性说明的主要内容：</w:t>
      </w:r>
      <w:r w:rsidR="00DB486C" w:rsidRPr="001D185D">
        <w:rPr>
          <w:rFonts w:asciiTheme="minorEastAsia" w:hAnsiTheme="minorEastAsia" w:hint="eastAsia"/>
          <w:bCs/>
          <w:sz w:val="24"/>
        </w:rPr>
        <w:t>“</w:t>
      </w:r>
      <w:r w:rsidR="001D185D" w:rsidRPr="001D185D">
        <w:rPr>
          <w:rFonts w:asciiTheme="minorEastAsia" w:hAnsiTheme="minorEastAsia" w:hint="eastAsia"/>
          <w:bCs/>
          <w:sz w:val="24"/>
        </w:rPr>
        <w:t>如财务报表附注二所述，因受控股股东债务危机及实际控制人刑事拘留的影响，交建股份</w:t>
      </w:r>
      <w:bookmarkStart w:id="14" w:name="_Hlk227249585"/>
      <w:r w:rsidR="001D185D" w:rsidRPr="001D185D">
        <w:rPr>
          <w:rFonts w:asciiTheme="minorEastAsia" w:hAnsiTheme="minorEastAsia"/>
          <w:bCs/>
          <w:sz w:val="24"/>
        </w:rPr>
        <w:t>2025</w:t>
      </w:r>
      <w:r w:rsidR="001D185D" w:rsidRPr="001D185D">
        <w:rPr>
          <w:rFonts w:asciiTheme="minorEastAsia" w:hAnsiTheme="minorEastAsia" w:hint="eastAsia"/>
          <w:bCs/>
          <w:sz w:val="24"/>
        </w:rPr>
        <w:t>年度归母净亏损为</w:t>
      </w:r>
      <w:r w:rsidR="001D185D" w:rsidRPr="001D185D">
        <w:rPr>
          <w:rFonts w:asciiTheme="minorEastAsia" w:hAnsiTheme="minorEastAsia"/>
          <w:bCs/>
          <w:sz w:val="24"/>
        </w:rPr>
        <w:t>78,323.04</w:t>
      </w:r>
      <w:r w:rsidR="001D185D" w:rsidRPr="001D185D">
        <w:rPr>
          <w:rFonts w:asciiTheme="minorEastAsia" w:hAnsiTheme="minorEastAsia" w:hint="eastAsia"/>
          <w:bCs/>
          <w:sz w:val="24"/>
        </w:rPr>
        <w:t>万元</w:t>
      </w:r>
      <w:bookmarkEnd w:id="14"/>
      <w:r w:rsidR="001D185D" w:rsidRPr="001D185D">
        <w:rPr>
          <w:rFonts w:asciiTheme="minorEastAsia" w:hAnsiTheme="minorEastAsia" w:hint="eastAsia"/>
          <w:bCs/>
          <w:sz w:val="24"/>
        </w:rPr>
        <w:t>，该等事件目前对交建股份日常经营产生了影响。交建股份管理层已采取措施保障公司的持续经营能力。但上述事项表明，存在可能导致对交建股份持续经营能力产生重大疑虑的重大不确定性。本段内容不影响已发表的审计意见。</w:t>
      </w:r>
      <w:r w:rsidR="00DB486C" w:rsidRPr="001D185D">
        <w:rPr>
          <w:rFonts w:asciiTheme="minorEastAsia" w:hAnsiTheme="minorEastAsia" w:hint="eastAsia"/>
          <w:sz w:val="24"/>
        </w:rPr>
        <w:t>”</w:t>
      </w:r>
      <w:bookmarkEnd w:id="12"/>
      <w:bookmarkEnd w:id="13"/>
    </w:p>
    <w:p w:rsidR="00FD640E" w:rsidRDefault="006F49CB" w:rsidP="00593182">
      <w:pPr>
        <w:spacing w:line="360" w:lineRule="auto"/>
        <w:ind w:firstLineChars="200" w:firstLine="482"/>
        <w:rPr>
          <w:rFonts w:ascii="宋体" w:eastAsia="宋体" w:hAnsi="宋体"/>
          <w:b/>
          <w:sz w:val="24"/>
          <w:szCs w:val="24"/>
        </w:rPr>
      </w:pPr>
      <w:r>
        <w:rPr>
          <w:rFonts w:ascii="宋体" w:eastAsia="宋体" w:hAnsi="宋体" w:hint="eastAsia"/>
          <w:b/>
          <w:sz w:val="24"/>
          <w:szCs w:val="24"/>
        </w:rPr>
        <w:t>（二）</w:t>
      </w:r>
      <w:bookmarkStart w:id="15" w:name="OLE_LINK11"/>
      <w:bookmarkStart w:id="16" w:name="OLE_LINK12"/>
      <w:bookmarkStart w:id="17" w:name="OLE_LINK18"/>
      <w:bookmarkStart w:id="18" w:name="OLE_LINK19"/>
      <w:proofErr w:type="gramStart"/>
      <w:r w:rsidR="00D90261" w:rsidRPr="00593182">
        <w:rPr>
          <w:rFonts w:ascii="宋体" w:eastAsia="宋体" w:hAnsi="宋体" w:hint="eastAsia"/>
          <w:b/>
          <w:sz w:val="24"/>
          <w:szCs w:val="24"/>
        </w:rPr>
        <w:t>带强调</w:t>
      </w:r>
      <w:proofErr w:type="gramEnd"/>
      <w:r w:rsidR="00D90261" w:rsidRPr="00593182">
        <w:rPr>
          <w:rFonts w:ascii="宋体" w:eastAsia="宋体" w:hAnsi="宋体" w:hint="eastAsia"/>
          <w:b/>
          <w:sz w:val="24"/>
          <w:szCs w:val="24"/>
        </w:rPr>
        <w:t>事项段的无保留意见</w:t>
      </w:r>
      <w:bookmarkEnd w:id="15"/>
      <w:bookmarkEnd w:id="16"/>
      <w:r w:rsidR="00D90261">
        <w:rPr>
          <w:rFonts w:ascii="宋体" w:eastAsia="宋体" w:hAnsi="宋体" w:hint="eastAsia"/>
          <w:b/>
          <w:sz w:val="24"/>
          <w:szCs w:val="24"/>
        </w:rPr>
        <w:t>内部控制审计报告</w:t>
      </w:r>
      <w:r w:rsidR="00FD640E" w:rsidRPr="00FD640E">
        <w:rPr>
          <w:rFonts w:ascii="宋体" w:eastAsia="宋体" w:hAnsi="宋体" w:hint="eastAsia"/>
          <w:b/>
          <w:sz w:val="24"/>
          <w:szCs w:val="24"/>
        </w:rPr>
        <w:t>涉及的主要内容</w:t>
      </w:r>
    </w:p>
    <w:p w:rsidR="00F96418" w:rsidRPr="00F96418" w:rsidRDefault="00B203C9" w:rsidP="00F96418">
      <w:pPr>
        <w:spacing w:line="360" w:lineRule="auto"/>
        <w:ind w:firstLineChars="200" w:firstLine="480"/>
        <w:rPr>
          <w:rFonts w:ascii="宋体" w:eastAsia="宋体" w:hAnsi="宋体"/>
          <w:sz w:val="24"/>
          <w:szCs w:val="24"/>
        </w:rPr>
      </w:pPr>
      <w:bookmarkStart w:id="19" w:name="OLE_LINK20"/>
      <w:bookmarkStart w:id="20" w:name="OLE_LINK21"/>
      <w:bookmarkEnd w:id="17"/>
      <w:bookmarkEnd w:id="18"/>
      <w:r w:rsidRPr="00B203C9">
        <w:rPr>
          <w:rFonts w:ascii="宋体" w:eastAsia="宋体" w:hAnsi="宋体" w:hint="eastAsia"/>
          <w:sz w:val="24"/>
          <w:szCs w:val="24"/>
        </w:rPr>
        <w:t>内部控制审计报告中强调事项内容</w:t>
      </w:r>
      <w:r>
        <w:rPr>
          <w:rFonts w:ascii="宋体" w:eastAsia="宋体" w:hAnsi="宋体" w:hint="eastAsia"/>
          <w:sz w:val="24"/>
          <w:szCs w:val="24"/>
        </w:rPr>
        <w:t>：</w:t>
      </w:r>
      <w:proofErr w:type="gramStart"/>
      <w:r>
        <w:rPr>
          <w:rFonts w:ascii="宋体" w:eastAsia="宋体" w:hAnsi="宋体" w:hint="eastAsia"/>
          <w:sz w:val="24"/>
          <w:szCs w:val="24"/>
        </w:rPr>
        <w:t>“</w:t>
      </w:r>
      <w:proofErr w:type="gramEnd"/>
      <w:r w:rsidR="00F96418" w:rsidRPr="00F96418">
        <w:rPr>
          <w:rFonts w:ascii="宋体" w:eastAsia="宋体" w:hAnsi="宋体" w:hint="eastAsia"/>
          <w:sz w:val="24"/>
          <w:szCs w:val="24"/>
        </w:rPr>
        <w:t>交建股份子公司安徽交建建筑工程有限责任公司（以下简称“交建建筑”）和关联方共同与农业银行签订《并购借款合同》、与中信金融公司签订《还款协议》及补充协议，</w:t>
      </w:r>
      <w:proofErr w:type="gramStart"/>
      <w:r w:rsidR="00F96418" w:rsidRPr="00F96418">
        <w:rPr>
          <w:rFonts w:ascii="宋体" w:eastAsia="宋体" w:hAnsi="宋体" w:hint="eastAsia"/>
          <w:sz w:val="24"/>
          <w:szCs w:val="24"/>
        </w:rPr>
        <w:t>交建建筑</w:t>
      </w:r>
      <w:proofErr w:type="gramEnd"/>
      <w:r w:rsidR="00F96418" w:rsidRPr="00F96418">
        <w:rPr>
          <w:rFonts w:ascii="宋体" w:eastAsia="宋体" w:hAnsi="宋体" w:hint="eastAsia"/>
          <w:sz w:val="24"/>
          <w:szCs w:val="24"/>
        </w:rPr>
        <w:t>并未收到和实际使用前述借款，</w:t>
      </w:r>
      <w:r w:rsidR="00746D8E">
        <w:rPr>
          <w:rFonts w:ascii="宋体" w:eastAsia="宋体" w:hAnsi="宋体" w:hint="eastAsia"/>
          <w:sz w:val="24"/>
          <w:szCs w:val="24"/>
        </w:rPr>
        <w:t>但</w:t>
      </w:r>
      <w:r w:rsidR="00F96418" w:rsidRPr="00F96418">
        <w:rPr>
          <w:rFonts w:ascii="宋体" w:eastAsia="宋体" w:hAnsi="宋体" w:hint="eastAsia"/>
          <w:sz w:val="24"/>
          <w:szCs w:val="24"/>
        </w:rPr>
        <w:t>未能实施有效的合同管理。</w:t>
      </w:r>
    </w:p>
    <w:p w:rsidR="00FD640E" w:rsidRPr="00680975" w:rsidRDefault="00F96418" w:rsidP="00F96418">
      <w:pPr>
        <w:spacing w:line="360" w:lineRule="auto"/>
        <w:ind w:firstLineChars="200" w:firstLine="480"/>
        <w:rPr>
          <w:rFonts w:ascii="宋体" w:eastAsia="宋体" w:hAnsi="宋体"/>
          <w:sz w:val="24"/>
          <w:szCs w:val="24"/>
        </w:rPr>
      </w:pPr>
      <w:r w:rsidRPr="00F96418">
        <w:rPr>
          <w:rFonts w:ascii="宋体" w:eastAsia="宋体" w:hAnsi="宋体" w:hint="eastAsia"/>
          <w:sz w:val="24"/>
          <w:szCs w:val="24"/>
        </w:rPr>
        <w:t>截至2026年4月24日，农业银行上述欠款已全部结清。针对中信金融公司还款，相关关联方已出具承诺，如若中信金融公司主张相关债权，优先使用抵质</w:t>
      </w:r>
      <w:r w:rsidRPr="00F96418">
        <w:rPr>
          <w:rFonts w:ascii="宋体" w:eastAsia="宋体" w:hAnsi="宋体" w:hint="eastAsia"/>
          <w:sz w:val="24"/>
          <w:szCs w:val="24"/>
        </w:rPr>
        <w:lastRenderedPageBreak/>
        <w:t>押资产进行偿付，相关抵质押资产公允价值足以覆盖此项债务，偿付后不会向</w:t>
      </w:r>
      <w:proofErr w:type="gramStart"/>
      <w:r w:rsidRPr="00F96418">
        <w:rPr>
          <w:rFonts w:ascii="宋体" w:eastAsia="宋体" w:hAnsi="宋体" w:hint="eastAsia"/>
          <w:sz w:val="24"/>
          <w:szCs w:val="24"/>
        </w:rPr>
        <w:t>交建建筑</w:t>
      </w:r>
      <w:proofErr w:type="gramEnd"/>
      <w:r w:rsidRPr="00F96418">
        <w:rPr>
          <w:rFonts w:ascii="宋体" w:eastAsia="宋体" w:hAnsi="宋体" w:hint="eastAsia"/>
          <w:sz w:val="24"/>
          <w:szCs w:val="24"/>
        </w:rPr>
        <w:t>进行追偿。同时，控股股东已出具承诺，在后续资产处置过程中优先或确保以上述债务的担保财产优先清偿中信金融公司的债务。通过上述整改措施，管理层认为</w:t>
      </w:r>
      <w:proofErr w:type="gramStart"/>
      <w:r w:rsidRPr="00F96418">
        <w:rPr>
          <w:rFonts w:ascii="宋体" w:eastAsia="宋体" w:hAnsi="宋体" w:hint="eastAsia"/>
          <w:sz w:val="24"/>
          <w:szCs w:val="24"/>
        </w:rPr>
        <w:t>交建建筑</w:t>
      </w:r>
      <w:proofErr w:type="gramEnd"/>
      <w:r w:rsidRPr="00F96418">
        <w:rPr>
          <w:rFonts w:ascii="宋体" w:eastAsia="宋体" w:hAnsi="宋体" w:hint="eastAsia"/>
          <w:sz w:val="24"/>
          <w:szCs w:val="24"/>
        </w:rPr>
        <w:t>因该笔债</w:t>
      </w:r>
      <w:proofErr w:type="gramStart"/>
      <w:r w:rsidRPr="00F96418">
        <w:rPr>
          <w:rFonts w:ascii="宋体" w:eastAsia="宋体" w:hAnsi="宋体" w:hint="eastAsia"/>
          <w:sz w:val="24"/>
          <w:szCs w:val="24"/>
        </w:rPr>
        <w:t>务</w:t>
      </w:r>
      <w:proofErr w:type="gramEnd"/>
      <w:r w:rsidRPr="00F96418">
        <w:rPr>
          <w:rFonts w:ascii="宋体" w:eastAsia="宋体" w:hAnsi="宋体" w:hint="eastAsia"/>
          <w:sz w:val="24"/>
          <w:szCs w:val="24"/>
        </w:rPr>
        <w:t>导致经济利益流出的可能性极小。本段内容不影响已对财务报告内部控制发表的审计意见。</w:t>
      </w:r>
      <w:r w:rsidR="00B203C9">
        <w:rPr>
          <w:rFonts w:ascii="宋体" w:eastAsia="宋体" w:hAnsi="宋体"/>
          <w:sz w:val="24"/>
          <w:szCs w:val="24"/>
        </w:rPr>
        <w:t>”</w:t>
      </w:r>
    </w:p>
    <w:bookmarkEnd w:id="19"/>
    <w:bookmarkEnd w:id="20"/>
    <w:p w:rsidR="00593182" w:rsidRPr="00593182" w:rsidRDefault="00593182" w:rsidP="00593182">
      <w:pPr>
        <w:spacing w:line="360" w:lineRule="auto"/>
        <w:ind w:firstLineChars="200" w:firstLine="482"/>
        <w:rPr>
          <w:rFonts w:ascii="宋体" w:eastAsia="宋体" w:hAnsi="宋体"/>
          <w:b/>
          <w:sz w:val="24"/>
          <w:szCs w:val="24"/>
        </w:rPr>
      </w:pPr>
      <w:r w:rsidRPr="00593182">
        <w:rPr>
          <w:rFonts w:ascii="宋体" w:eastAsia="宋体" w:hAnsi="宋体"/>
          <w:b/>
          <w:sz w:val="24"/>
          <w:szCs w:val="24"/>
        </w:rPr>
        <w:t>二、</w:t>
      </w:r>
      <w:r w:rsidR="00D13C17">
        <w:rPr>
          <w:rFonts w:ascii="宋体" w:eastAsia="宋体" w:hAnsi="宋体" w:hint="eastAsia"/>
          <w:b/>
          <w:sz w:val="24"/>
          <w:szCs w:val="24"/>
        </w:rPr>
        <w:t>董事会</w:t>
      </w:r>
      <w:bookmarkStart w:id="21" w:name="OLE_LINK4"/>
      <w:r w:rsidR="00D13C17">
        <w:rPr>
          <w:rFonts w:ascii="宋体" w:eastAsia="宋体" w:hAnsi="宋体" w:hint="eastAsia"/>
          <w:b/>
          <w:sz w:val="24"/>
          <w:szCs w:val="24"/>
        </w:rPr>
        <w:t>对涉及事项的说明</w:t>
      </w:r>
    </w:p>
    <w:bookmarkEnd w:id="21"/>
    <w:p w:rsidR="0085049F" w:rsidRDefault="00593182" w:rsidP="0085049F">
      <w:pPr>
        <w:spacing w:line="360" w:lineRule="auto"/>
        <w:ind w:firstLineChars="200" w:firstLine="480"/>
        <w:rPr>
          <w:rFonts w:ascii="宋体" w:eastAsia="宋体" w:hAnsi="宋体"/>
          <w:sz w:val="24"/>
          <w:szCs w:val="24"/>
        </w:rPr>
      </w:pPr>
      <w:r w:rsidRPr="00593182">
        <w:rPr>
          <w:rFonts w:ascii="宋体" w:eastAsia="宋体" w:hAnsi="宋体"/>
          <w:sz w:val="24"/>
          <w:szCs w:val="24"/>
        </w:rPr>
        <w:t>公司董事会</w:t>
      </w:r>
      <w:r w:rsidR="00032480">
        <w:rPr>
          <w:rFonts w:ascii="宋体" w:eastAsia="宋体" w:hAnsi="宋体"/>
          <w:sz w:val="24"/>
          <w:szCs w:val="24"/>
        </w:rPr>
        <w:t>认为：</w:t>
      </w:r>
      <w:r w:rsidR="00E94A10">
        <w:rPr>
          <w:rFonts w:ascii="宋体" w:eastAsia="宋体" w:hAnsi="宋体"/>
          <w:sz w:val="24"/>
          <w:szCs w:val="24"/>
        </w:rPr>
        <w:t>公司</w:t>
      </w:r>
      <w:r w:rsidR="00E94A10" w:rsidRPr="00032480">
        <w:rPr>
          <w:rFonts w:ascii="宋体" w:eastAsia="宋体" w:hAnsi="宋体" w:hint="eastAsia"/>
          <w:sz w:val="24"/>
          <w:szCs w:val="24"/>
        </w:rPr>
        <w:t>大额计提关联方应收款项坏账准备</w:t>
      </w:r>
      <w:r w:rsidR="00E94A10">
        <w:rPr>
          <w:rFonts w:ascii="宋体" w:eastAsia="宋体" w:hAnsi="宋体" w:hint="eastAsia"/>
          <w:sz w:val="24"/>
          <w:szCs w:val="24"/>
        </w:rPr>
        <w:t>，主要是</w:t>
      </w:r>
      <w:r w:rsidR="00032480" w:rsidRPr="00032480">
        <w:rPr>
          <w:rFonts w:ascii="宋体" w:eastAsia="宋体" w:hAnsi="宋体" w:hint="eastAsia"/>
          <w:sz w:val="24"/>
          <w:szCs w:val="24"/>
        </w:rPr>
        <w:t>由于2025</w:t>
      </w:r>
      <w:r w:rsidR="00E94A10">
        <w:rPr>
          <w:rFonts w:ascii="宋体" w:eastAsia="宋体" w:hAnsi="宋体" w:hint="eastAsia"/>
          <w:sz w:val="24"/>
          <w:szCs w:val="24"/>
        </w:rPr>
        <w:t>年度</w:t>
      </w:r>
      <w:r w:rsidR="00032480" w:rsidRPr="00032480">
        <w:rPr>
          <w:rFonts w:ascii="宋体" w:eastAsia="宋体" w:hAnsi="宋体" w:hint="eastAsia"/>
          <w:sz w:val="24"/>
          <w:szCs w:val="24"/>
        </w:rPr>
        <w:t>控股股东债务危机影响</w:t>
      </w:r>
      <w:r w:rsidR="00E94A10">
        <w:rPr>
          <w:rFonts w:ascii="宋体" w:eastAsia="宋体" w:hAnsi="宋体" w:hint="eastAsia"/>
          <w:sz w:val="24"/>
          <w:szCs w:val="24"/>
        </w:rPr>
        <w:t>。</w:t>
      </w:r>
      <w:r w:rsidR="0085049F" w:rsidRPr="0085049F">
        <w:rPr>
          <w:rFonts w:ascii="宋体" w:eastAsia="宋体" w:hAnsi="宋体" w:hint="eastAsia"/>
          <w:sz w:val="24"/>
          <w:szCs w:val="24"/>
        </w:rPr>
        <w:t>上述报告是根据中国注册会计师审计准则要求，出于职业判断出具的，依据和理由符合有关规定</w:t>
      </w:r>
      <w:r w:rsidR="00E94A10">
        <w:rPr>
          <w:rFonts w:ascii="宋体" w:eastAsia="宋体" w:hAnsi="宋体" w:hint="eastAsia"/>
          <w:sz w:val="24"/>
          <w:szCs w:val="24"/>
        </w:rPr>
        <w:t>，公司董事会</w:t>
      </w:r>
      <w:r w:rsidR="00E94A10" w:rsidRPr="00593182">
        <w:rPr>
          <w:rFonts w:ascii="宋体" w:eastAsia="宋体" w:hAnsi="宋体"/>
          <w:sz w:val="24"/>
          <w:szCs w:val="24"/>
        </w:rPr>
        <w:t>对</w:t>
      </w:r>
      <w:r w:rsidR="00E94A10">
        <w:rPr>
          <w:rFonts w:ascii="宋体" w:eastAsia="宋体" w:hAnsi="宋体"/>
          <w:sz w:val="24"/>
          <w:szCs w:val="24"/>
        </w:rPr>
        <w:t>容诚</w:t>
      </w:r>
      <w:r w:rsidR="00E13F1B">
        <w:rPr>
          <w:rFonts w:ascii="宋体" w:eastAsia="宋体" w:hAnsi="宋体"/>
          <w:sz w:val="24"/>
          <w:szCs w:val="24"/>
        </w:rPr>
        <w:t>所</w:t>
      </w:r>
      <w:r w:rsidR="00E94A10" w:rsidRPr="00593182">
        <w:rPr>
          <w:rFonts w:ascii="宋体" w:eastAsia="宋体" w:hAnsi="宋体"/>
          <w:sz w:val="24"/>
          <w:szCs w:val="24"/>
        </w:rPr>
        <w:t>出具的公司2025年</w:t>
      </w:r>
      <w:r w:rsidR="00E94A10">
        <w:rPr>
          <w:rFonts w:ascii="宋体" w:eastAsia="宋体" w:hAnsi="宋体"/>
          <w:sz w:val="24"/>
          <w:szCs w:val="24"/>
        </w:rPr>
        <w:t>审计报告结论表示认可。</w:t>
      </w:r>
    </w:p>
    <w:p w:rsidR="00593182" w:rsidRDefault="00473EC1" w:rsidP="00593182">
      <w:pPr>
        <w:spacing w:line="360" w:lineRule="auto"/>
        <w:ind w:firstLineChars="200" w:firstLine="480"/>
        <w:rPr>
          <w:rFonts w:ascii="宋体" w:eastAsia="宋体" w:hAnsi="宋体"/>
          <w:sz w:val="24"/>
          <w:szCs w:val="24"/>
        </w:rPr>
      </w:pPr>
      <w:r>
        <w:rPr>
          <w:rFonts w:ascii="宋体" w:eastAsia="宋体" w:hAnsi="宋体"/>
          <w:sz w:val="24"/>
          <w:szCs w:val="24"/>
        </w:rPr>
        <w:t>容诚</w:t>
      </w:r>
      <w:r w:rsidR="00E13F1B">
        <w:rPr>
          <w:rFonts w:ascii="宋体" w:eastAsia="宋体" w:hAnsi="宋体"/>
          <w:sz w:val="24"/>
          <w:szCs w:val="24"/>
        </w:rPr>
        <w:t>所</w:t>
      </w:r>
      <w:r w:rsidR="00593182" w:rsidRPr="00593182">
        <w:rPr>
          <w:rFonts w:ascii="宋体" w:eastAsia="宋体" w:hAnsi="宋体"/>
          <w:sz w:val="24"/>
          <w:szCs w:val="24"/>
        </w:rPr>
        <w:t>在公司2025年度内部控制审计报告中增加强调事项段是为了提醒内部控制审计报告使用者关注有关内容，不影响公司内部控制的有效性，公司董事会尊重其独立判断。董事会认为</w:t>
      </w:r>
      <w:r w:rsidR="00C00575">
        <w:rPr>
          <w:rFonts w:ascii="宋体" w:eastAsia="宋体" w:hAnsi="宋体"/>
          <w:sz w:val="24"/>
          <w:szCs w:val="24"/>
        </w:rPr>
        <w:t>相关事项发生在公司收购子公司之前，且</w:t>
      </w:r>
      <w:r w:rsidR="00593182" w:rsidRPr="00593182">
        <w:rPr>
          <w:rFonts w:ascii="宋体" w:eastAsia="宋体" w:hAnsi="宋体"/>
          <w:sz w:val="24"/>
          <w:szCs w:val="24"/>
        </w:rPr>
        <w:t>公司已采取必要措施</w:t>
      </w:r>
      <w:r w:rsidR="00C00575">
        <w:rPr>
          <w:rFonts w:ascii="宋体" w:eastAsia="宋体" w:hAnsi="宋体"/>
          <w:sz w:val="24"/>
          <w:szCs w:val="24"/>
        </w:rPr>
        <w:t>解决相关事项可能带来的不利影响</w:t>
      </w:r>
      <w:r w:rsidR="0085049F">
        <w:rPr>
          <w:rFonts w:ascii="宋体" w:eastAsia="宋体" w:hAnsi="宋体"/>
          <w:sz w:val="24"/>
          <w:szCs w:val="24"/>
        </w:rPr>
        <w:t>，</w:t>
      </w:r>
      <w:r w:rsidR="00593182" w:rsidRPr="00593182">
        <w:rPr>
          <w:rFonts w:ascii="宋体" w:eastAsia="宋体" w:hAnsi="宋体"/>
          <w:sz w:val="24"/>
          <w:szCs w:val="24"/>
        </w:rPr>
        <w:t>公司董事会高度重视报告涉及事项，已和管理层一同采取措施，消除该事项对公司的影响，切实维护公司及全体股东利益。</w:t>
      </w:r>
    </w:p>
    <w:p w:rsidR="00D13C17" w:rsidRPr="00D13C17" w:rsidRDefault="00D13C17" w:rsidP="00D13C17">
      <w:pPr>
        <w:spacing w:line="360" w:lineRule="auto"/>
        <w:ind w:firstLineChars="200" w:firstLine="482"/>
        <w:rPr>
          <w:rFonts w:ascii="宋体" w:eastAsia="宋体" w:hAnsi="宋体"/>
          <w:b/>
          <w:sz w:val="24"/>
          <w:szCs w:val="24"/>
        </w:rPr>
      </w:pPr>
      <w:r w:rsidRPr="00D13C17">
        <w:rPr>
          <w:rFonts w:ascii="宋体" w:eastAsia="宋体" w:hAnsi="宋体" w:hint="eastAsia"/>
          <w:b/>
          <w:sz w:val="24"/>
          <w:szCs w:val="24"/>
        </w:rPr>
        <w:t>三、审计委员会对涉及事项的说明</w:t>
      </w:r>
    </w:p>
    <w:p w:rsidR="00D13C17" w:rsidRPr="00680975" w:rsidRDefault="00E94A10" w:rsidP="00E94A10">
      <w:pPr>
        <w:spacing w:line="360" w:lineRule="auto"/>
        <w:ind w:firstLineChars="200" w:firstLine="480"/>
        <w:rPr>
          <w:rFonts w:ascii="宋体" w:eastAsia="宋体" w:hAnsi="宋体"/>
          <w:sz w:val="24"/>
          <w:szCs w:val="24"/>
        </w:rPr>
      </w:pPr>
      <w:r>
        <w:rPr>
          <w:rFonts w:ascii="宋体" w:eastAsia="宋体" w:hAnsi="宋体" w:hint="eastAsia"/>
          <w:kern w:val="0"/>
          <w:sz w:val="24"/>
          <w:szCs w:val="24"/>
        </w:rPr>
        <w:t>公司董事会审计委员会尊重会计师事务所作出的相关报告，对容诚</w:t>
      </w:r>
      <w:r w:rsidR="00E13F1B">
        <w:rPr>
          <w:rFonts w:ascii="宋体" w:eastAsia="宋体" w:hAnsi="宋体" w:hint="eastAsia"/>
          <w:kern w:val="0"/>
          <w:sz w:val="24"/>
          <w:szCs w:val="24"/>
        </w:rPr>
        <w:t>所</w:t>
      </w:r>
      <w:r>
        <w:rPr>
          <w:rFonts w:ascii="宋体" w:eastAsia="宋体" w:hAnsi="宋体" w:hint="eastAsia"/>
          <w:kern w:val="0"/>
          <w:sz w:val="24"/>
          <w:szCs w:val="24"/>
        </w:rPr>
        <w:t>出具的上述报告结论表示认可。</w:t>
      </w:r>
      <w:r w:rsidR="0085049F" w:rsidRPr="0085049F">
        <w:rPr>
          <w:rFonts w:ascii="宋体" w:eastAsia="宋体" w:hAnsi="宋体"/>
          <w:sz w:val="24"/>
          <w:szCs w:val="24"/>
        </w:rPr>
        <w:t>后续，公司董事会审计委员会将充分发挥本职功能，持续关注并监督公司董事会和管理层积极采取有效措施，提升公司规范运作水平和内部控制的有效性，维护公司和全体股东的合法权益</w:t>
      </w:r>
      <w:r w:rsidR="00032480">
        <w:rPr>
          <w:rFonts w:ascii="宋体" w:eastAsia="宋体" w:hAnsi="宋体"/>
          <w:sz w:val="24"/>
          <w:szCs w:val="24"/>
        </w:rPr>
        <w:t>。</w:t>
      </w:r>
    </w:p>
    <w:p w:rsidR="00593182" w:rsidRPr="00593182" w:rsidRDefault="00D13C17" w:rsidP="00593182">
      <w:pPr>
        <w:spacing w:line="360" w:lineRule="auto"/>
        <w:ind w:firstLineChars="200" w:firstLine="482"/>
        <w:rPr>
          <w:rFonts w:ascii="宋体" w:eastAsia="宋体" w:hAnsi="宋体"/>
          <w:b/>
          <w:sz w:val="24"/>
          <w:szCs w:val="24"/>
        </w:rPr>
      </w:pPr>
      <w:r>
        <w:rPr>
          <w:rFonts w:ascii="宋体" w:eastAsia="宋体" w:hAnsi="宋体" w:hint="eastAsia"/>
          <w:b/>
          <w:sz w:val="24"/>
          <w:szCs w:val="24"/>
        </w:rPr>
        <w:t>四</w:t>
      </w:r>
      <w:r w:rsidR="00593182" w:rsidRPr="00593182">
        <w:rPr>
          <w:rFonts w:ascii="宋体" w:eastAsia="宋体" w:hAnsi="宋体" w:hint="eastAsia"/>
          <w:b/>
          <w:sz w:val="24"/>
          <w:szCs w:val="24"/>
        </w:rPr>
        <w:t>、公司拟采取的相应措施</w:t>
      </w:r>
    </w:p>
    <w:p w:rsidR="00593182" w:rsidRDefault="0087220A" w:rsidP="0087220A">
      <w:pPr>
        <w:spacing w:line="360" w:lineRule="auto"/>
        <w:ind w:firstLineChars="200" w:firstLine="480"/>
        <w:rPr>
          <w:rFonts w:ascii="宋体" w:eastAsia="宋体" w:hAnsi="宋体"/>
          <w:sz w:val="24"/>
          <w:szCs w:val="24"/>
        </w:rPr>
      </w:pPr>
      <w:r w:rsidRPr="0087220A">
        <w:rPr>
          <w:rFonts w:ascii="宋体" w:eastAsia="宋体" w:hAnsi="宋体"/>
          <w:sz w:val="24"/>
          <w:szCs w:val="24"/>
        </w:rPr>
        <w:t>公司董事会对</w:t>
      </w:r>
      <w:r>
        <w:rPr>
          <w:rFonts w:ascii="宋体" w:eastAsia="宋体" w:hAnsi="宋体"/>
          <w:sz w:val="24"/>
          <w:szCs w:val="24"/>
        </w:rPr>
        <w:t>容诚</w:t>
      </w:r>
      <w:r w:rsidRPr="0087220A">
        <w:rPr>
          <w:rFonts w:ascii="宋体" w:eastAsia="宋体" w:hAnsi="宋体"/>
          <w:sz w:val="24"/>
          <w:szCs w:val="24"/>
        </w:rPr>
        <w:t>会计师事务所出具</w:t>
      </w:r>
      <w:r>
        <w:rPr>
          <w:rFonts w:ascii="宋体" w:eastAsia="宋体" w:hAnsi="宋体"/>
          <w:sz w:val="24"/>
          <w:szCs w:val="24"/>
        </w:rPr>
        <w:t>上述报告事项</w:t>
      </w:r>
      <w:r w:rsidRPr="0087220A">
        <w:rPr>
          <w:rFonts w:ascii="宋体" w:eastAsia="宋体" w:hAnsi="宋体"/>
          <w:sz w:val="24"/>
          <w:szCs w:val="24"/>
        </w:rPr>
        <w:t>高度重视，将积极采取相应的措施，尽快消除相关事项及其影响。结合公司目前实际情况，公司采取整改措施如下：</w:t>
      </w:r>
    </w:p>
    <w:p w:rsidR="0075582F" w:rsidRDefault="0075582F" w:rsidP="0075582F">
      <w:pPr>
        <w:adjustRightInd w:val="0"/>
        <w:spacing w:before="120" w:line="360" w:lineRule="auto"/>
        <w:ind w:firstLineChars="200" w:firstLine="480"/>
        <w:rPr>
          <w:kern w:val="0"/>
          <w:sz w:val="24"/>
        </w:rPr>
      </w:pPr>
      <w:bookmarkStart w:id="22" w:name="OLE_LINK29"/>
      <w:r>
        <w:rPr>
          <w:rFonts w:hint="eastAsia"/>
          <w:kern w:val="0"/>
          <w:sz w:val="24"/>
        </w:rPr>
        <w:t>1</w:t>
      </w:r>
      <w:r>
        <w:rPr>
          <w:rFonts w:hint="eastAsia"/>
          <w:kern w:val="0"/>
          <w:sz w:val="24"/>
        </w:rPr>
        <w:t>、公司积极整合各种业务资源，努力开拓市场：主动和帮扶工作组、地方政府进行沟通、汇报，确保市场开拓不受重大影响；</w:t>
      </w:r>
    </w:p>
    <w:p w:rsidR="0075582F" w:rsidRDefault="0075582F" w:rsidP="0075582F">
      <w:pPr>
        <w:adjustRightInd w:val="0"/>
        <w:spacing w:before="120" w:line="360" w:lineRule="auto"/>
        <w:ind w:firstLineChars="200" w:firstLine="480"/>
        <w:rPr>
          <w:kern w:val="0"/>
          <w:sz w:val="24"/>
        </w:rPr>
      </w:pPr>
      <w:r>
        <w:rPr>
          <w:rFonts w:hint="eastAsia"/>
          <w:kern w:val="0"/>
          <w:sz w:val="24"/>
        </w:rPr>
        <w:t>2</w:t>
      </w:r>
      <w:r>
        <w:rPr>
          <w:rFonts w:hint="eastAsia"/>
          <w:kern w:val="0"/>
          <w:sz w:val="24"/>
        </w:rPr>
        <w:t>、加强资金管理与统筹：强化资金集中管理，严格控制非核心经营支出，优化付款安排，确保经营性现金</w:t>
      </w:r>
      <w:proofErr w:type="gramStart"/>
      <w:r>
        <w:rPr>
          <w:rFonts w:hint="eastAsia"/>
          <w:kern w:val="0"/>
          <w:sz w:val="24"/>
        </w:rPr>
        <w:t>流维持</w:t>
      </w:r>
      <w:proofErr w:type="gramEnd"/>
      <w:r>
        <w:rPr>
          <w:rFonts w:hint="eastAsia"/>
          <w:kern w:val="0"/>
          <w:sz w:val="24"/>
        </w:rPr>
        <w:t>稳健水平；</w:t>
      </w:r>
    </w:p>
    <w:p w:rsidR="0075582F" w:rsidRDefault="0075582F" w:rsidP="0075582F">
      <w:pPr>
        <w:adjustRightInd w:val="0"/>
        <w:spacing w:before="120" w:line="360" w:lineRule="auto"/>
        <w:ind w:firstLineChars="200" w:firstLine="480"/>
        <w:rPr>
          <w:kern w:val="0"/>
          <w:sz w:val="24"/>
        </w:rPr>
      </w:pPr>
      <w:r>
        <w:rPr>
          <w:rFonts w:hint="eastAsia"/>
          <w:kern w:val="0"/>
          <w:sz w:val="24"/>
        </w:rPr>
        <w:lastRenderedPageBreak/>
        <w:t>3</w:t>
      </w:r>
      <w:r>
        <w:rPr>
          <w:rFonts w:hint="eastAsia"/>
          <w:kern w:val="0"/>
          <w:sz w:val="24"/>
        </w:rPr>
        <w:t>、主动与主要授信银行沟通，争取现有贷款到期后的续贷支持，同时探索新增授信额度，避免因控股股东因素导致融资环境进一步收紧；</w:t>
      </w:r>
    </w:p>
    <w:p w:rsidR="0075582F" w:rsidRDefault="0075582F" w:rsidP="0075582F">
      <w:pPr>
        <w:adjustRightInd w:val="0"/>
        <w:spacing w:before="120" w:line="360" w:lineRule="auto"/>
        <w:ind w:firstLineChars="200" w:firstLine="480"/>
        <w:rPr>
          <w:kern w:val="0"/>
          <w:sz w:val="24"/>
        </w:rPr>
      </w:pPr>
      <w:r>
        <w:rPr>
          <w:rFonts w:hint="eastAsia"/>
          <w:kern w:val="0"/>
          <w:sz w:val="24"/>
        </w:rPr>
        <w:t>4</w:t>
      </w:r>
      <w:r>
        <w:rPr>
          <w:rFonts w:hint="eastAsia"/>
          <w:kern w:val="0"/>
          <w:sz w:val="24"/>
        </w:rPr>
        <w:t>、盘活存量资产，加快资金回笼：通过推进项目结算、清理存量债权、</w:t>
      </w:r>
      <w:proofErr w:type="gramStart"/>
      <w:r>
        <w:rPr>
          <w:rFonts w:hint="eastAsia"/>
          <w:kern w:val="0"/>
          <w:sz w:val="24"/>
        </w:rPr>
        <w:t>处置非</w:t>
      </w:r>
      <w:proofErr w:type="gramEnd"/>
      <w:r>
        <w:rPr>
          <w:rFonts w:hint="eastAsia"/>
          <w:kern w:val="0"/>
          <w:sz w:val="24"/>
        </w:rPr>
        <w:t>核心资产等方式，多渠道回笼资金，提升资产流动性；截至本报告批注报出日，应收款项期后回款金额为</w:t>
      </w:r>
      <w:r w:rsidR="00E27A80" w:rsidRPr="00E27A80">
        <w:rPr>
          <w:rFonts w:ascii="宋体" w:eastAsia="宋体" w:hAnsi="宋体" w:hint="eastAsia"/>
          <w:kern w:val="0"/>
          <w:sz w:val="24"/>
        </w:rPr>
        <w:t>154,389.11万元</w:t>
      </w:r>
      <w:r>
        <w:rPr>
          <w:rFonts w:hint="eastAsia"/>
          <w:kern w:val="0"/>
          <w:sz w:val="24"/>
        </w:rPr>
        <w:t>；</w:t>
      </w:r>
      <w:bookmarkEnd w:id="22"/>
    </w:p>
    <w:p w:rsidR="001D185D" w:rsidRDefault="001D185D" w:rsidP="0075582F">
      <w:pPr>
        <w:adjustRightInd w:val="0"/>
        <w:spacing w:before="120" w:line="360" w:lineRule="auto"/>
        <w:ind w:firstLineChars="200" w:firstLine="480"/>
        <w:rPr>
          <w:kern w:val="0"/>
          <w:sz w:val="24"/>
        </w:rPr>
      </w:pPr>
      <w:r>
        <w:rPr>
          <w:rFonts w:hint="eastAsia"/>
          <w:kern w:val="0"/>
          <w:sz w:val="24"/>
        </w:rPr>
        <w:t>5</w:t>
      </w:r>
      <w:r>
        <w:rPr>
          <w:rFonts w:hint="eastAsia"/>
          <w:kern w:val="0"/>
          <w:sz w:val="24"/>
        </w:rPr>
        <w:t>、</w:t>
      </w:r>
      <w:bookmarkStart w:id="23" w:name="_GoBack"/>
      <w:r w:rsidRPr="001D185D">
        <w:rPr>
          <w:rFonts w:hint="eastAsia"/>
          <w:kern w:val="0"/>
          <w:sz w:val="24"/>
        </w:rPr>
        <w:t>公司持续完善子公司管控机制，包括修订《印章管理办法》</w:t>
      </w:r>
      <w:r w:rsidR="00E3239E">
        <w:rPr>
          <w:rFonts w:hint="eastAsia"/>
          <w:kern w:val="0"/>
          <w:sz w:val="24"/>
        </w:rPr>
        <w:t>等制度，</w:t>
      </w:r>
      <w:r w:rsidRPr="001D185D">
        <w:rPr>
          <w:rFonts w:hint="eastAsia"/>
          <w:kern w:val="0"/>
          <w:sz w:val="24"/>
        </w:rPr>
        <w:t>建立重大合同事前审批与备案机制、持续跟踪历史债务。</w:t>
      </w:r>
      <w:bookmarkEnd w:id="23"/>
      <w:r w:rsidRPr="001D185D">
        <w:rPr>
          <w:rFonts w:hint="eastAsia"/>
          <w:kern w:val="0"/>
          <w:sz w:val="24"/>
        </w:rPr>
        <w:t>发现该事项后已全面排查，无其他类似情形。报告期内未再发生未经授权对外承担债务或担保的情形。</w:t>
      </w:r>
    </w:p>
    <w:p w:rsidR="0087220A" w:rsidRPr="0087220A" w:rsidRDefault="0087220A" w:rsidP="0087220A">
      <w:pPr>
        <w:spacing w:line="360" w:lineRule="auto"/>
        <w:ind w:firstLineChars="200" w:firstLine="480"/>
        <w:rPr>
          <w:rFonts w:ascii="宋体" w:eastAsia="宋体" w:hAnsi="宋体"/>
          <w:sz w:val="24"/>
          <w:szCs w:val="24"/>
        </w:rPr>
      </w:pPr>
      <w:r w:rsidRPr="0087220A">
        <w:rPr>
          <w:rFonts w:ascii="宋体" w:eastAsia="宋体" w:hAnsi="宋体"/>
          <w:sz w:val="24"/>
          <w:szCs w:val="24"/>
        </w:rPr>
        <w:t>公司目前生产经营情况稳定，后续将以保护公司和广大投资者合法权益为前 提，积极采取有效措施，尽快消除上述不利因素对公司的影响，并依据相关规定 就有关事项的进展情况及时履行信息披露义务。</w:t>
      </w:r>
    </w:p>
    <w:p w:rsidR="00593182" w:rsidRDefault="00593182" w:rsidP="00593182">
      <w:pPr>
        <w:spacing w:line="360" w:lineRule="auto"/>
        <w:ind w:firstLineChars="200" w:firstLine="480"/>
        <w:rPr>
          <w:rFonts w:ascii="宋体" w:eastAsia="宋体" w:hAnsi="宋体"/>
          <w:sz w:val="24"/>
          <w:szCs w:val="24"/>
        </w:rPr>
      </w:pPr>
    </w:p>
    <w:p w:rsidR="00593182" w:rsidRPr="00390525" w:rsidRDefault="00593182" w:rsidP="00593182">
      <w:pPr>
        <w:spacing w:line="360" w:lineRule="auto"/>
        <w:ind w:firstLineChars="200" w:firstLine="480"/>
        <w:rPr>
          <w:rFonts w:ascii="宋体" w:eastAsia="宋体" w:hAnsi="宋体"/>
          <w:sz w:val="24"/>
          <w:szCs w:val="24"/>
        </w:rPr>
      </w:pPr>
    </w:p>
    <w:p w:rsidR="00593182" w:rsidRDefault="00593182" w:rsidP="00593182">
      <w:pPr>
        <w:spacing w:line="360" w:lineRule="auto"/>
        <w:ind w:firstLineChars="200" w:firstLine="480"/>
        <w:jc w:val="right"/>
        <w:rPr>
          <w:rFonts w:ascii="宋体" w:eastAsia="宋体" w:hAnsi="宋体"/>
          <w:sz w:val="24"/>
          <w:szCs w:val="24"/>
        </w:rPr>
      </w:pPr>
      <w:r>
        <w:rPr>
          <w:rFonts w:ascii="宋体" w:eastAsia="宋体" w:hAnsi="宋体" w:hint="eastAsia"/>
          <w:sz w:val="24"/>
          <w:szCs w:val="24"/>
        </w:rPr>
        <w:t>安徽省交通建设股份有限公司董事会</w:t>
      </w:r>
    </w:p>
    <w:p w:rsidR="00593182" w:rsidRPr="00593182" w:rsidRDefault="00593182" w:rsidP="00593182">
      <w:pPr>
        <w:spacing w:line="360" w:lineRule="auto"/>
        <w:ind w:firstLineChars="200" w:firstLine="480"/>
        <w:jc w:val="right"/>
        <w:rPr>
          <w:rFonts w:ascii="宋体" w:eastAsia="宋体" w:hAnsi="宋体"/>
          <w:sz w:val="24"/>
          <w:szCs w:val="24"/>
        </w:rPr>
      </w:pPr>
      <w:r>
        <w:rPr>
          <w:rFonts w:ascii="宋体" w:eastAsia="宋体" w:hAnsi="宋体" w:hint="eastAsia"/>
          <w:sz w:val="24"/>
          <w:szCs w:val="24"/>
        </w:rPr>
        <w:t>2026年4月28日</w:t>
      </w:r>
    </w:p>
    <w:sectPr w:rsidR="00593182" w:rsidRPr="005931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48E" w:rsidRDefault="00B4648E" w:rsidP="00B93F7A">
      <w:r>
        <w:separator/>
      </w:r>
    </w:p>
  </w:endnote>
  <w:endnote w:type="continuationSeparator" w:id="0">
    <w:p w:rsidR="00B4648E" w:rsidRDefault="00B4648E" w:rsidP="00B93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48E" w:rsidRDefault="00B4648E" w:rsidP="00B93F7A">
      <w:r>
        <w:separator/>
      </w:r>
    </w:p>
  </w:footnote>
  <w:footnote w:type="continuationSeparator" w:id="0">
    <w:p w:rsidR="00B4648E" w:rsidRDefault="00B4648E" w:rsidP="00B93F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4FA"/>
    <w:rsid w:val="0000376D"/>
    <w:rsid w:val="0001234E"/>
    <w:rsid w:val="0001680A"/>
    <w:rsid w:val="00023677"/>
    <w:rsid w:val="00027747"/>
    <w:rsid w:val="00027B0C"/>
    <w:rsid w:val="00032480"/>
    <w:rsid w:val="00040A78"/>
    <w:rsid w:val="00043E7B"/>
    <w:rsid w:val="00045E2D"/>
    <w:rsid w:val="00054C87"/>
    <w:rsid w:val="0006527E"/>
    <w:rsid w:val="00066297"/>
    <w:rsid w:val="00082A13"/>
    <w:rsid w:val="000844FA"/>
    <w:rsid w:val="00084828"/>
    <w:rsid w:val="00092CE3"/>
    <w:rsid w:val="00096BEF"/>
    <w:rsid w:val="000A227C"/>
    <w:rsid w:val="000A524A"/>
    <w:rsid w:val="000B27E6"/>
    <w:rsid w:val="000B2F05"/>
    <w:rsid w:val="000C02EC"/>
    <w:rsid w:val="000C5F4F"/>
    <w:rsid w:val="000C663C"/>
    <w:rsid w:val="000D320A"/>
    <w:rsid w:val="000E243C"/>
    <w:rsid w:val="000F2494"/>
    <w:rsid w:val="000F7DF2"/>
    <w:rsid w:val="00103A03"/>
    <w:rsid w:val="00121A69"/>
    <w:rsid w:val="0013643C"/>
    <w:rsid w:val="0014054F"/>
    <w:rsid w:val="00150989"/>
    <w:rsid w:val="00173B14"/>
    <w:rsid w:val="00182FA5"/>
    <w:rsid w:val="0018330D"/>
    <w:rsid w:val="00184D34"/>
    <w:rsid w:val="001946FC"/>
    <w:rsid w:val="00195FEA"/>
    <w:rsid w:val="00197DD5"/>
    <w:rsid w:val="001A1921"/>
    <w:rsid w:val="001C42B8"/>
    <w:rsid w:val="001C4F50"/>
    <w:rsid w:val="001D185D"/>
    <w:rsid w:val="001D525B"/>
    <w:rsid w:val="001E219A"/>
    <w:rsid w:val="001F2976"/>
    <w:rsid w:val="001F633B"/>
    <w:rsid w:val="00203D42"/>
    <w:rsid w:val="002040AF"/>
    <w:rsid w:val="002069B8"/>
    <w:rsid w:val="002113F6"/>
    <w:rsid w:val="00212A3C"/>
    <w:rsid w:val="0022353E"/>
    <w:rsid w:val="002268E6"/>
    <w:rsid w:val="00245451"/>
    <w:rsid w:val="0024635E"/>
    <w:rsid w:val="00256FC0"/>
    <w:rsid w:val="00267C44"/>
    <w:rsid w:val="00274F05"/>
    <w:rsid w:val="00275F0A"/>
    <w:rsid w:val="002771B7"/>
    <w:rsid w:val="002806B5"/>
    <w:rsid w:val="00292EB7"/>
    <w:rsid w:val="00293562"/>
    <w:rsid w:val="002A6D10"/>
    <w:rsid w:val="002B21FB"/>
    <w:rsid w:val="002B76A1"/>
    <w:rsid w:val="002C0DAB"/>
    <w:rsid w:val="002C7AC4"/>
    <w:rsid w:val="002F6A09"/>
    <w:rsid w:val="00305CF4"/>
    <w:rsid w:val="00317847"/>
    <w:rsid w:val="00326223"/>
    <w:rsid w:val="00332EDD"/>
    <w:rsid w:val="00337A6C"/>
    <w:rsid w:val="003446FB"/>
    <w:rsid w:val="0034629A"/>
    <w:rsid w:val="00351D77"/>
    <w:rsid w:val="00353EB2"/>
    <w:rsid w:val="00372D88"/>
    <w:rsid w:val="0038050F"/>
    <w:rsid w:val="00381611"/>
    <w:rsid w:val="00390525"/>
    <w:rsid w:val="00392492"/>
    <w:rsid w:val="00394ABF"/>
    <w:rsid w:val="003A27B0"/>
    <w:rsid w:val="003B7579"/>
    <w:rsid w:val="003C29B9"/>
    <w:rsid w:val="003C2DC9"/>
    <w:rsid w:val="003C4030"/>
    <w:rsid w:val="003D6BA3"/>
    <w:rsid w:val="003F0E04"/>
    <w:rsid w:val="003F7367"/>
    <w:rsid w:val="003F756C"/>
    <w:rsid w:val="00400380"/>
    <w:rsid w:val="0040070E"/>
    <w:rsid w:val="00412BDF"/>
    <w:rsid w:val="004143DD"/>
    <w:rsid w:val="00423A02"/>
    <w:rsid w:val="00425C42"/>
    <w:rsid w:val="00446C49"/>
    <w:rsid w:val="00447469"/>
    <w:rsid w:val="00454D06"/>
    <w:rsid w:val="00456A40"/>
    <w:rsid w:val="00461B02"/>
    <w:rsid w:val="00472990"/>
    <w:rsid w:val="00473EC1"/>
    <w:rsid w:val="0048177F"/>
    <w:rsid w:val="0048443F"/>
    <w:rsid w:val="00485941"/>
    <w:rsid w:val="00486964"/>
    <w:rsid w:val="00490816"/>
    <w:rsid w:val="0049798F"/>
    <w:rsid w:val="004A0945"/>
    <w:rsid w:val="004A729C"/>
    <w:rsid w:val="004B3C35"/>
    <w:rsid w:val="004C1106"/>
    <w:rsid w:val="004C193B"/>
    <w:rsid w:val="004D19AF"/>
    <w:rsid w:val="004D4094"/>
    <w:rsid w:val="004D5E39"/>
    <w:rsid w:val="004D63C2"/>
    <w:rsid w:val="004D6A9D"/>
    <w:rsid w:val="004D770C"/>
    <w:rsid w:val="004E4657"/>
    <w:rsid w:val="00510CA0"/>
    <w:rsid w:val="0051388B"/>
    <w:rsid w:val="00517218"/>
    <w:rsid w:val="00527137"/>
    <w:rsid w:val="005442F0"/>
    <w:rsid w:val="00545266"/>
    <w:rsid w:val="00547C8E"/>
    <w:rsid w:val="00553AF2"/>
    <w:rsid w:val="0055713A"/>
    <w:rsid w:val="00557B9C"/>
    <w:rsid w:val="0056131D"/>
    <w:rsid w:val="00564604"/>
    <w:rsid w:val="00564BEE"/>
    <w:rsid w:val="00571BE1"/>
    <w:rsid w:val="00593182"/>
    <w:rsid w:val="005A46AC"/>
    <w:rsid w:val="005C6FC8"/>
    <w:rsid w:val="005D2535"/>
    <w:rsid w:val="005D6604"/>
    <w:rsid w:val="005E3450"/>
    <w:rsid w:val="005E41C4"/>
    <w:rsid w:val="005E7BF2"/>
    <w:rsid w:val="005F6415"/>
    <w:rsid w:val="005F67EF"/>
    <w:rsid w:val="00602978"/>
    <w:rsid w:val="00613889"/>
    <w:rsid w:val="00620368"/>
    <w:rsid w:val="006231E9"/>
    <w:rsid w:val="00631E1E"/>
    <w:rsid w:val="006329F9"/>
    <w:rsid w:val="00634257"/>
    <w:rsid w:val="00645DF0"/>
    <w:rsid w:val="00655969"/>
    <w:rsid w:val="006646E8"/>
    <w:rsid w:val="0067283B"/>
    <w:rsid w:val="00680975"/>
    <w:rsid w:val="00685C98"/>
    <w:rsid w:val="00687707"/>
    <w:rsid w:val="00687BB5"/>
    <w:rsid w:val="006A0346"/>
    <w:rsid w:val="006A536E"/>
    <w:rsid w:val="006A59F3"/>
    <w:rsid w:val="006B4BC8"/>
    <w:rsid w:val="006B71C9"/>
    <w:rsid w:val="006D0370"/>
    <w:rsid w:val="006D3DE8"/>
    <w:rsid w:val="006D628C"/>
    <w:rsid w:val="006E141C"/>
    <w:rsid w:val="006E63F8"/>
    <w:rsid w:val="006F478B"/>
    <w:rsid w:val="006F49CB"/>
    <w:rsid w:val="00720139"/>
    <w:rsid w:val="00722E71"/>
    <w:rsid w:val="007261D0"/>
    <w:rsid w:val="00727542"/>
    <w:rsid w:val="00730300"/>
    <w:rsid w:val="0073331F"/>
    <w:rsid w:val="00734698"/>
    <w:rsid w:val="00743757"/>
    <w:rsid w:val="00746D8E"/>
    <w:rsid w:val="0074796D"/>
    <w:rsid w:val="00753764"/>
    <w:rsid w:val="0075582F"/>
    <w:rsid w:val="007626C7"/>
    <w:rsid w:val="007635F6"/>
    <w:rsid w:val="00766F5C"/>
    <w:rsid w:val="007803E5"/>
    <w:rsid w:val="00782B59"/>
    <w:rsid w:val="0078349A"/>
    <w:rsid w:val="007876DE"/>
    <w:rsid w:val="00791125"/>
    <w:rsid w:val="007976C2"/>
    <w:rsid w:val="007A3B32"/>
    <w:rsid w:val="007A3F21"/>
    <w:rsid w:val="007B01EF"/>
    <w:rsid w:val="007D795E"/>
    <w:rsid w:val="007E415A"/>
    <w:rsid w:val="007E7FEA"/>
    <w:rsid w:val="007F2803"/>
    <w:rsid w:val="007F2CA2"/>
    <w:rsid w:val="007F531D"/>
    <w:rsid w:val="007F617E"/>
    <w:rsid w:val="007F6C7E"/>
    <w:rsid w:val="008074AC"/>
    <w:rsid w:val="008132CA"/>
    <w:rsid w:val="00815807"/>
    <w:rsid w:val="00825662"/>
    <w:rsid w:val="00834B03"/>
    <w:rsid w:val="0085049F"/>
    <w:rsid w:val="00857EB5"/>
    <w:rsid w:val="00863DE1"/>
    <w:rsid w:val="00865586"/>
    <w:rsid w:val="0087220A"/>
    <w:rsid w:val="0087494B"/>
    <w:rsid w:val="00875D9C"/>
    <w:rsid w:val="008840AF"/>
    <w:rsid w:val="008867E9"/>
    <w:rsid w:val="00892C3A"/>
    <w:rsid w:val="008952D7"/>
    <w:rsid w:val="008A49CB"/>
    <w:rsid w:val="008B4607"/>
    <w:rsid w:val="008C1931"/>
    <w:rsid w:val="008C3AD7"/>
    <w:rsid w:val="008D0468"/>
    <w:rsid w:val="008D4020"/>
    <w:rsid w:val="008D7E80"/>
    <w:rsid w:val="008E1BF8"/>
    <w:rsid w:val="008F1835"/>
    <w:rsid w:val="008F53C8"/>
    <w:rsid w:val="00912002"/>
    <w:rsid w:val="00920F84"/>
    <w:rsid w:val="00921F7B"/>
    <w:rsid w:val="00923180"/>
    <w:rsid w:val="00931ED4"/>
    <w:rsid w:val="00946F43"/>
    <w:rsid w:val="009608ED"/>
    <w:rsid w:val="00962F0F"/>
    <w:rsid w:val="009677FC"/>
    <w:rsid w:val="009742E6"/>
    <w:rsid w:val="00980715"/>
    <w:rsid w:val="00982C3C"/>
    <w:rsid w:val="00984A40"/>
    <w:rsid w:val="009949F9"/>
    <w:rsid w:val="009A74D7"/>
    <w:rsid w:val="009B57AF"/>
    <w:rsid w:val="009C2BFE"/>
    <w:rsid w:val="009C709F"/>
    <w:rsid w:val="009D28E8"/>
    <w:rsid w:val="009E0B39"/>
    <w:rsid w:val="009E0F80"/>
    <w:rsid w:val="009F6839"/>
    <w:rsid w:val="00A07CB4"/>
    <w:rsid w:val="00A11B02"/>
    <w:rsid w:val="00A27E36"/>
    <w:rsid w:val="00A31AB6"/>
    <w:rsid w:val="00A41745"/>
    <w:rsid w:val="00A43F2D"/>
    <w:rsid w:val="00A441A1"/>
    <w:rsid w:val="00A45F26"/>
    <w:rsid w:val="00A507A2"/>
    <w:rsid w:val="00A5091A"/>
    <w:rsid w:val="00A622B1"/>
    <w:rsid w:val="00A6360A"/>
    <w:rsid w:val="00A67031"/>
    <w:rsid w:val="00A74916"/>
    <w:rsid w:val="00A74BAC"/>
    <w:rsid w:val="00A924F3"/>
    <w:rsid w:val="00A9633C"/>
    <w:rsid w:val="00AB6AA2"/>
    <w:rsid w:val="00AC3C81"/>
    <w:rsid w:val="00AD055A"/>
    <w:rsid w:val="00AE7CFB"/>
    <w:rsid w:val="00B203C9"/>
    <w:rsid w:val="00B32BAE"/>
    <w:rsid w:val="00B34360"/>
    <w:rsid w:val="00B34E9B"/>
    <w:rsid w:val="00B3647B"/>
    <w:rsid w:val="00B43B18"/>
    <w:rsid w:val="00B453AD"/>
    <w:rsid w:val="00B4648E"/>
    <w:rsid w:val="00B54352"/>
    <w:rsid w:val="00B648F7"/>
    <w:rsid w:val="00B66101"/>
    <w:rsid w:val="00B7416B"/>
    <w:rsid w:val="00B80497"/>
    <w:rsid w:val="00B87912"/>
    <w:rsid w:val="00B93F7A"/>
    <w:rsid w:val="00B963C3"/>
    <w:rsid w:val="00B97511"/>
    <w:rsid w:val="00BB0869"/>
    <w:rsid w:val="00BB1460"/>
    <w:rsid w:val="00BB466E"/>
    <w:rsid w:val="00BB5A23"/>
    <w:rsid w:val="00BC2DB6"/>
    <w:rsid w:val="00BC693C"/>
    <w:rsid w:val="00BD3DA4"/>
    <w:rsid w:val="00BD52DB"/>
    <w:rsid w:val="00BE102B"/>
    <w:rsid w:val="00BE5549"/>
    <w:rsid w:val="00BE5B87"/>
    <w:rsid w:val="00BF0167"/>
    <w:rsid w:val="00BF0E02"/>
    <w:rsid w:val="00BF5B34"/>
    <w:rsid w:val="00BF6513"/>
    <w:rsid w:val="00C00575"/>
    <w:rsid w:val="00C02260"/>
    <w:rsid w:val="00C0444C"/>
    <w:rsid w:val="00C11CFB"/>
    <w:rsid w:val="00C27ECB"/>
    <w:rsid w:val="00C31995"/>
    <w:rsid w:val="00C36998"/>
    <w:rsid w:val="00C40C3E"/>
    <w:rsid w:val="00C40D10"/>
    <w:rsid w:val="00C45F3C"/>
    <w:rsid w:val="00C61DA4"/>
    <w:rsid w:val="00C67E3C"/>
    <w:rsid w:val="00C818C7"/>
    <w:rsid w:val="00C861B1"/>
    <w:rsid w:val="00C921A4"/>
    <w:rsid w:val="00C95569"/>
    <w:rsid w:val="00CA64E2"/>
    <w:rsid w:val="00CB03BB"/>
    <w:rsid w:val="00CB2571"/>
    <w:rsid w:val="00CC64E6"/>
    <w:rsid w:val="00CE36AF"/>
    <w:rsid w:val="00CF77AB"/>
    <w:rsid w:val="00D03ACD"/>
    <w:rsid w:val="00D040A8"/>
    <w:rsid w:val="00D13C17"/>
    <w:rsid w:val="00D15B81"/>
    <w:rsid w:val="00D17F02"/>
    <w:rsid w:val="00D27CB1"/>
    <w:rsid w:val="00D41E44"/>
    <w:rsid w:val="00D4289B"/>
    <w:rsid w:val="00D42C21"/>
    <w:rsid w:val="00D43038"/>
    <w:rsid w:val="00D521EC"/>
    <w:rsid w:val="00D56531"/>
    <w:rsid w:val="00D614E4"/>
    <w:rsid w:val="00D627C8"/>
    <w:rsid w:val="00D6361D"/>
    <w:rsid w:val="00D70483"/>
    <w:rsid w:val="00D70A33"/>
    <w:rsid w:val="00D81FD1"/>
    <w:rsid w:val="00D8394D"/>
    <w:rsid w:val="00D90261"/>
    <w:rsid w:val="00DB03AD"/>
    <w:rsid w:val="00DB486C"/>
    <w:rsid w:val="00DB64B0"/>
    <w:rsid w:val="00DC0943"/>
    <w:rsid w:val="00DC1A0A"/>
    <w:rsid w:val="00DD6505"/>
    <w:rsid w:val="00DE6857"/>
    <w:rsid w:val="00E01732"/>
    <w:rsid w:val="00E0277D"/>
    <w:rsid w:val="00E11D22"/>
    <w:rsid w:val="00E13F1B"/>
    <w:rsid w:val="00E20B20"/>
    <w:rsid w:val="00E21400"/>
    <w:rsid w:val="00E27A80"/>
    <w:rsid w:val="00E3239E"/>
    <w:rsid w:val="00E447FB"/>
    <w:rsid w:val="00E521A2"/>
    <w:rsid w:val="00E569D3"/>
    <w:rsid w:val="00E56D66"/>
    <w:rsid w:val="00E578FF"/>
    <w:rsid w:val="00E63817"/>
    <w:rsid w:val="00E70229"/>
    <w:rsid w:val="00E7558A"/>
    <w:rsid w:val="00E82EC8"/>
    <w:rsid w:val="00E85DF5"/>
    <w:rsid w:val="00E86266"/>
    <w:rsid w:val="00E90515"/>
    <w:rsid w:val="00E92A99"/>
    <w:rsid w:val="00E94A10"/>
    <w:rsid w:val="00EA4AA6"/>
    <w:rsid w:val="00EB44AD"/>
    <w:rsid w:val="00EB6D8D"/>
    <w:rsid w:val="00EB7F74"/>
    <w:rsid w:val="00ED3503"/>
    <w:rsid w:val="00EE14F7"/>
    <w:rsid w:val="00EE2DF6"/>
    <w:rsid w:val="00EE3673"/>
    <w:rsid w:val="00EE5608"/>
    <w:rsid w:val="00F04B79"/>
    <w:rsid w:val="00F129DC"/>
    <w:rsid w:val="00F2251F"/>
    <w:rsid w:val="00F25E1A"/>
    <w:rsid w:val="00F35C50"/>
    <w:rsid w:val="00F40B58"/>
    <w:rsid w:val="00F47C72"/>
    <w:rsid w:val="00F62BD9"/>
    <w:rsid w:val="00F64D31"/>
    <w:rsid w:val="00F70E88"/>
    <w:rsid w:val="00F71126"/>
    <w:rsid w:val="00F751D0"/>
    <w:rsid w:val="00F76810"/>
    <w:rsid w:val="00F87197"/>
    <w:rsid w:val="00F96418"/>
    <w:rsid w:val="00FA2DD2"/>
    <w:rsid w:val="00FB2EC9"/>
    <w:rsid w:val="00FB6113"/>
    <w:rsid w:val="00FC14DF"/>
    <w:rsid w:val="00FC45E6"/>
    <w:rsid w:val="00FC4F9E"/>
    <w:rsid w:val="00FD2E87"/>
    <w:rsid w:val="00FD640E"/>
    <w:rsid w:val="00FE0A8E"/>
    <w:rsid w:val="00FF38EE"/>
    <w:rsid w:val="00FF5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93182"/>
    <w:rPr>
      <w:sz w:val="21"/>
      <w:szCs w:val="21"/>
    </w:rPr>
  </w:style>
  <w:style w:type="paragraph" w:styleId="a4">
    <w:name w:val="annotation text"/>
    <w:basedOn w:val="a"/>
    <w:link w:val="Char"/>
    <w:uiPriority w:val="99"/>
    <w:semiHidden/>
    <w:unhideWhenUsed/>
    <w:rsid w:val="00593182"/>
    <w:pPr>
      <w:jc w:val="left"/>
    </w:pPr>
  </w:style>
  <w:style w:type="character" w:customStyle="1" w:styleId="Char">
    <w:name w:val="批注文字 Char"/>
    <w:basedOn w:val="a0"/>
    <w:link w:val="a4"/>
    <w:uiPriority w:val="99"/>
    <w:semiHidden/>
    <w:rsid w:val="00593182"/>
  </w:style>
  <w:style w:type="paragraph" w:styleId="a5">
    <w:name w:val="annotation subject"/>
    <w:basedOn w:val="a4"/>
    <w:next w:val="a4"/>
    <w:link w:val="Char0"/>
    <w:uiPriority w:val="99"/>
    <w:semiHidden/>
    <w:unhideWhenUsed/>
    <w:rsid w:val="00593182"/>
    <w:rPr>
      <w:b/>
      <w:bCs/>
    </w:rPr>
  </w:style>
  <w:style w:type="character" w:customStyle="1" w:styleId="Char0">
    <w:name w:val="批注主题 Char"/>
    <w:basedOn w:val="Char"/>
    <w:link w:val="a5"/>
    <w:uiPriority w:val="99"/>
    <w:semiHidden/>
    <w:rsid w:val="00593182"/>
    <w:rPr>
      <w:b/>
      <w:bCs/>
    </w:rPr>
  </w:style>
  <w:style w:type="paragraph" w:styleId="a6">
    <w:name w:val="Balloon Text"/>
    <w:basedOn w:val="a"/>
    <w:link w:val="Char1"/>
    <w:uiPriority w:val="99"/>
    <w:semiHidden/>
    <w:unhideWhenUsed/>
    <w:rsid w:val="00593182"/>
    <w:rPr>
      <w:sz w:val="18"/>
      <w:szCs w:val="18"/>
    </w:rPr>
  </w:style>
  <w:style w:type="character" w:customStyle="1" w:styleId="Char1">
    <w:name w:val="批注框文本 Char"/>
    <w:basedOn w:val="a0"/>
    <w:link w:val="a6"/>
    <w:uiPriority w:val="99"/>
    <w:semiHidden/>
    <w:rsid w:val="00593182"/>
    <w:rPr>
      <w:sz w:val="18"/>
      <w:szCs w:val="18"/>
    </w:rPr>
  </w:style>
  <w:style w:type="paragraph" w:styleId="a7">
    <w:name w:val="header"/>
    <w:basedOn w:val="a"/>
    <w:link w:val="Char2"/>
    <w:uiPriority w:val="99"/>
    <w:unhideWhenUsed/>
    <w:rsid w:val="00B93F7A"/>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B93F7A"/>
    <w:rPr>
      <w:sz w:val="18"/>
      <w:szCs w:val="18"/>
    </w:rPr>
  </w:style>
  <w:style w:type="paragraph" w:styleId="a8">
    <w:name w:val="footer"/>
    <w:basedOn w:val="a"/>
    <w:link w:val="Char3"/>
    <w:uiPriority w:val="99"/>
    <w:unhideWhenUsed/>
    <w:rsid w:val="00B93F7A"/>
    <w:pPr>
      <w:tabs>
        <w:tab w:val="center" w:pos="4153"/>
        <w:tab w:val="right" w:pos="8306"/>
      </w:tabs>
      <w:snapToGrid w:val="0"/>
      <w:jc w:val="left"/>
    </w:pPr>
    <w:rPr>
      <w:sz w:val="18"/>
      <w:szCs w:val="18"/>
    </w:rPr>
  </w:style>
  <w:style w:type="character" w:customStyle="1" w:styleId="Char3">
    <w:name w:val="页脚 Char"/>
    <w:basedOn w:val="a0"/>
    <w:link w:val="a8"/>
    <w:uiPriority w:val="99"/>
    <w:rsid w:val="00B93F7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93182"/>
    <w:rPr>
      <w:sz w:val="21"/>
      <w:szCs w:val="21"/>
    </w:rPr>
  </w:style>
  <w:style w:type="paragraph" w:styleId="a4">
    <w:name w:val="annotation text"/>
    <w:basedOn w:val="a"/>
    <w:link w:val="Char"/>
    <w:uiPriority w:val="99"/>
    <w:semiHidden/>
    <w:unhideWhenUsed/>
    <w:rsid w:val="00593182"/>
    <w:pPr>
      <w:jc w:val="left"/>
    </w:pPr>
  </w:style>
  <w:style w:type="character" w:customStyle="1" w:styleId="Char">
    <w:name w:val="批注文字 Char"/>
    <w:basedOn w:val="a0"/>
    <w:link w:val="a4"/>
    <w:uiPriority w:val="99"/>
    <w:semiHidden/>
    <w:rsid w:val="00593182"/>
  </w:style>
  <w:style w:type="paragraph" w:styleId="a5">
    <w:name w:val="annotation subject"/>
    <w:basedOn w:val="a4"/>
    <w:next w:val="a4"/>
    <w:link w:val="Char0"/>
    <w:uiPriority w:val="99"/>
    <w:semiHidden/>
    <w:unhideWhenUsed/>
    <w:rsid w:val="00593182"/>
    <w:rPr>
      <w:b/>
      <w:bCs/>
    </w:rPr>
  </w:style>
  <w:style w:type="character" w:customStyle="1" w:styleId="Char0">
    <w:name w:val="批注主题 Char"/>
    <w:basedOn w:val="Char"/>
    <w:link w:val="a5"/>
    <w:uiPriority w:val="99"/>
    <w:semiHidden/>
    <w:rsid w:val="00593182"/>
    <w:rPr>
      <w:b/>
      <w:bCs/>
    </w:rPr>
  </w:style>
  <w:style w:type="paragraph" w:styleId="a6">
    <w:name w:val="Balloon Text"/>
    <w:basedOn w:val="a"/>
    <w:link w:val="Char1"/>
    <w:uiPriority w:val="99"/>
    <w:semiHidden/>
    <w:unhideWhenUsed/>
    <w:rsid w:val="00593182"/>
    <w:rPr>
      <w:sz w:val="18"/>
      <w:szCs w:val="18"/>
    </w:rPr>
  </w:style>
  <w:style w:type="character" w:customStyle="1" w:styleId="Char1">
    <w:name w:val="批注框文本 Char"/>
    <w:basedOn w:val="a0"/>
    <w:link w:val="a6"/>
    <w:uiPriority w:val="99"/>
    <w:semiHidden/>
    <w:rsid w:val="00593182"/>
    <w:rPr>
      <w:sz w:val="18"/>
      <w:szCs w:val="18"/>
    </w:rPr>
  </w:style>
  <w:style w:type="paragraph" w:styleId="a7">
    <w:name w:val="header"/>
    <w:basedOn w:val="a"/>
    <w:link w:val="Char2"/>
    <w:uiPriority w:val="99"/>
    <w:unhideWhenUsed/>
    <w:rsid w:val="00B93F7A"/>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B93F7A"/>
    <w:rPr>
      <w:sz w:val="18"/>
      <w:szCs w:val="18"/>
    </w:rPr>
  </w:style>
  <w:style w:type="paragraph" w:styleId="a8">
    <w:name w:val="footer"/>
    <w:basedOn w:val="a"/>
    <w:link w:val="Char3"/>
    <w:uiPriority w:val="99"/>
    <w:unhideWhenUsed/>
    <w:rsid w:val="00B93F7A"/>
    <w:pPr>
      <w:tabs>
        <w:tab w:val="center" w:pos="4153"/>
        <w:tab w:val="right" w:pos="8306"/>
      </w:tabs>
      <w:snapToGrid w:val="0"/>
      <w:jc w:val="left"/>
    </w:pPr>
    <w:rPr>
      <w:sz w:val="18"/>
      <w:szCs w:val="18"/>
    </w:rPr>
  </w:style>
  <w:style w:type="character" w:customStyle="1" w:styleId="Char3">
    <w:name w:val="页脚 Char"/>
    <w:basedOn w:val="a0"/>
    <w:link w:val="a8"/>
    <w:uiPriority w:val="99"/>
    <w:rsid w:val="00B93F7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113816">
      <w:bodyDiv w:val="1"/>
      <w:marLeft w:val="0"/>
      <w:marRight w:val="0"/>
      <w:marTop w:val="0"/>
      <w:marBottom w:val="0"/>
      <w:divBdr>
        <w:top w:val="none" w:sz="0" w:space="0" w:color="auto"/>
        <w:left w:val="none" w:sz="0" w:space="0" w:color="auto"/>
        <w:bottom w:val="none" w:sz="0" w:space="0" w:color="auto"/>
        <w:right w:val="none" w:sz="0" w:space="0" w:color="auto"/>
      </w:divBdr>
    </w:div>
    <w:div w:id="1135875419">
      <w:bodyDiv w:val="1"/>
      <w:marLeft w:val="0"/>
      <w:marRight w:val="0"/>
      <w:marTop w:val="0"/>
      <w:marBottom w:val="0"/>
      <w:divBdr>
        <w:top w:val="none" w:sz="0" w:space="0" w:color="auto"/>
        <w:left w:val="none" w:sz="0" w:space="0" w:color="auto"/>
        <w:bottom w:val="none" w:sz="0" w:space="0" w:color="auto"/>
        <w:right w:val="none" w:sz="0" w:space="0" w:color="auto"/>
      </w:divBdr>
    </w:div>
    <w:div w:id="1148396985">
      <w:bodyDiv w:val="1"/>
      <w:marLeft w:val="0"/>
      <w:marRight w:val="0"/>
      <w:marTop w:val="0"/>
      <w:marBottom w:val="0"/>
      <w:divBdr>
        <w:top w:val="none" w:sz="0" w:space="0" w:color="auto"/>
        <w:left w:val="none" w:sz="0" w:space="0" w:color="auto"/>
        <w:bottom w:val="none" w:sz="0" w:space="0" w:color="auto"/>
        <w:right w:val="none" w:sz="0" w:space="0" w:color="auto"/>
      </w:divBdr>
    </w:div>
    <w:div w:id="151619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3</Pages>
  <Words>885</Words>
  <Characters>1135</Characters>
  <Application>Microsoft Office Word</Application>
  <DocSecurity>0</DocSecurity>
  <Lines>126</Lines>
  <Paragraphs>118</Paragraphs>
  <ScaleCrop>false</ScaleCrop>
  <Company/>
  <LinksUpToDate>false</LinksUpToDate>
  <CharactersWithSpaces>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林玲</dc:creator>
  <cp:keywords/>
  <dc:description/>
  <cp:lastModifiedBy>林玲</cp:lastModifiedBy>
  <cp:revision>31</cp:revision>
  <dcterms:created xsi:type="dcterms:W3CDTF">2026-04-25T03:45:00Z</dcterms:created>
  <dcterms:modified xsi:type="dcterms:W3CDTF">2026-07-29T08:21:00Z</dcterms:modified>
</cp:coreProperties>
</file>