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9A974" w14:textId="77777777" w:rsidR="00B73125" w:rsidRDefault="004C752F">
      <w:pPr>
        <w:widowControl/>
        <w:shd w:val="clear" w:color="auto" w:fill="FFFFFF"/>
        <w:spacing w:line="360" w:lineRule="auto"/>
        <w:ind w:firstLine="460"/>
        <w:jc w:val="center"/>
        <w:rPr>
          <w:rFonts w:ascii="宋体" w:hAnsi="宋体"/>
          <w:b/>
          <w:sz w:val="36"/>
          <w:szCs w:val="36"/>
        </w:rPr>
      </w:pPr>
      <w:r>
        <w:rPr>
          <w:rFonts w:ascii="宋体" w:hAnsi="宋体" w:hint="eastAsia"/>
          <w:b/>
          <w:sz w:val="36"/>
          <w:szCs w:val="36"/>
        </w:rPr>
        <w:t>安徽省交通建设股份有限公司</w:t>
      </w:r>
    </w:p>
    <w:p w14:paraId="5816DD7C" w14:textId="77777777" w:rsidR="00B73125" w:rsidRDefault="004C752F">
      <w:pPr>
        <w:adjustRightInd w:val="0"/>
        <w:snapToGrid w:val="0"/>
        <w:spacing w:line="360" w:lineRule="auto"/>
        <w:jc w:val="center"/>
        <w:textAlignment w:val="baseline"/>
        <w:rPr>
          <w:rFonts w:ascii="宋体" w:hAnsi="宋体"/>
          <w:b/>
          <w:kern w:val="0"/>
          <w:sz w:val="24"/>
          <w:szCs w:val="24"/>
        </w:rPr>
      </w:pPr>
      <w:r>
        <w:rPr>
          <w:rFonts w:ascii="宋体" w:hAnsi="宋体" w:hint="eastAsia"/>
          <w:b/>
          <w:sz w:val="36"/>
          <w:szCs w:val="36"/>
        </w:rPr>
        <w:t>关于公司对会计师事务所履职情况评估报告</w:t>
      </w:r>
    </w:p>
    <w:p w14:paraId="4AE3FEF0"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安徽省交通建设</w:t>
      </w:r>
      <w:r>
        <w:rPr>
          <w:rFonts w:ascii="宋体" w:hAnsi="宋体"/>
          <w:sz w:val="24"/>
          <w:szCs w:val="24"/>
        </w:rPr>
        <w:t>股份有限公司（以下简称“公司”）聘请</w:t>
      </w:r>
      <w:r>
        <w:rPr>
          <w:rFonts w:ascii="宋体" w:hAnsi="宋体" w:hint="eastAsia"/>
          <w:sz w:val="24"/>
          <w:szCs w:val="24"/>
        </w:rPr>
        <w:t>容诚会计师事务所（特殊普通合伙）</w:t>
      </w:r>
      <w:r>
        <w:rPr>
          <w:rFonts w:ascii="宋体" w:hAnsi="宋体"/>
          <w:sz w:val="24"/>
          <w:szCs w:val="24"/>
        </w:rPr>
        <w:t>（以下简称“</w:t>
      </w:r>
      <w:bookmarkStart w:id="0" w:name="OLE_LINK5"/>
      <w:bookmarkStart w:id="1" w:name="OLE_LINK6"/>
      <w:r>
        <w:rPr>
          <w:rFonts w:ascii="宋体" w:hAnsi="宋体" w:hint="eastAsia"/>
          <w:sz w:val="24"/>
          <w:szCs w:val="24"/>
        </w:rPr>
        <w:t>容诚所</w:t>
      </w:r>
      <w:bookmarkEnd w:id="0"/>
      <w:bookmarkEnd w:id="1"/>
      <w:r>
        <w:rPr>
          <w:rFonts w:ascii="宋体" w:hAnsi="宋体"/>
          <w:sz w:val="24"/>
          <w:szCs w:val="24"/>
        </w:rPr>
        <w:t>”）为公司</w:t>
      </w:r>
      <w:r>
        <w:rPr>
          <w:rFonts w:ascii="宋体" w:hAnsi="宋体" w:hint="eastAsia"/>
          <w:sz w:val="24"/>
          <w:szCs w:val="24"/>
        </w:rPr>
        <w:t>2025年年报审计机构</w:t>
      </w:r>
      <w:r>
        <w:rPr>
          <w:rFonts w:ascii="宋体" w:hAnsi="宋体"/>
          <w:sz w:val="24"/>
          <w:szCs w:val="24"/>
        </w:rPr>
        <w:t>。</w:t>
      </w:r>
      <w:r>
        <w:rPr>
          <w:rFonts w:ascii="宋体" w:hAnsi="宋体" w:cs="宋体" w:hint="eastAsia"/>
          <w:sz w:val="24"/>
          <w:szCs w:val="24"/>
          <w:shd w:val="clear" w:color="auto" w:fill="FFFFFF"/>
        </w:rPr>
        <w:t>根据财政部、国务院国资委及证监会颁布的《国有企业、上市公司选聘会计师事务所管理办法》，公司对容诚所在2025年年度审计中的履职情况进行了评估。经评估，公司认为，近一年容诚所资质等方面合</w:t>
      </w:r>
      <w:proofErr w:type="gramStart"/>
      <w:r>
        <w:rPr>
          <w:rFonts w:ascii="宋体" w:hAnsi="宋体" w:cs="宋体" w:hint="eastAsia"/>
          <w:sz w:val="24"/>
          <w:szCs w:val="24"/>
          <w:shd w:val="clear" w:color="auto" w:fill="FFFFFF"/>
        </w:rPr>
        <w:t>规</w:t>
      </w:r>
      <w:proofErr w:type="gramEnd"/>
      <w:r>
        <w:rPr>
          <w:rFonts w:ascii="宋体" w:hAnsi="宋体" w:cs="宋体" w:hint="eastAsia"/>
          <w:sz w:val="24"/>
          <w:szCs w:val="24"/>
          <w:shd w:val="clear" w:color="auto" w:fill="FFFFFF"/>
        </w:rPr>
        <w:t>有效，履职能</w:t>
      </w:r>
      <w:proofErr w:type="gramStart"/>
      <w:r>
        <w:rPr>
          <w:rFonts w:ascii="宋体" w:hAnsi="宋体" w:cs="宋体" w:hint="eastAsia"/>
          <w:sz w:val="24"/>
          <w:szCs w:val="24"/>
          <w:shd w:val="clear" w:color="auto" w:fill="FFFFFF"/>
        </w:rPr>
        <w:t>够保持</w:t>
      </w:r>
      <w:proofErr w:type="gramEnd"/>
      <w:r>
        <w:rPr>
          <w:rFonts w:ascii="宋体" w:hAnsi="宋体" w:cs="宋体" w:hint="eastAsia"/>
          <w:sz w:val="24"/>
          <w:szCs w:val="24"/>
          <w:shd w:val="clear" w:color="auto" w:fill="FFFFFF"/>
        </w:rPr>
        <w:t>独立性，勤勉尽责、公允表达意见。具体情况如下</w:t>
      </w:r>
      <w:r>
        <w:rPr>
          <w:rFonts w:ascii="宋体" w:hAnsi="宋体"/>
          <w:sz w:val="24"/>
          <w:szCs w:val="24"/>
        </w:rPr>
        <w:t>：</w:t>
      </w:r>
    </w:p>
    <w:p w14:paraId="27B82304" w14:textId="77777777" w:rsidR="00B73125" w:rsidRDefault="004C752F">
      <w:pPr>
        <w:pStyle w:val="a7"/>
        <w:shd w:val="clear" w:color="auto" w:fill="FFFFFF"/>
        <w:spacing w:beforeLines="50" w:before="156" w:beforeAutospacing="0" w:afterAutospacing="0" w:line="360" w:lineRule="auto"/>
        <w:ind w:firstLineChars="200" w:firstLine="482"/>
        <w:outlineLvl w:val="0"/>
        <w:rPr>
          <w:b/>
          <w:bCs/>
        </w:rPr>
      </w:pPr>
      <w:bookmarkStart w:id="2" w:name="_Hlk162622941"/>
      <w:r>
        <w:rPr>
          <w:rFonts w:hint="eastAsia"/>
          <w:b/>
          <w:bCs/>
          <w:shd w:val="clear" w:color="auto" w:fill="FFFFFF"/>
        </w:rPr>
        <w:t>一、</w:t>
      </w:r>
      <w:r>
        <w:rPr>
          <w:rFonts w:cs="Times New Roman" w:hint="eastAsia"/>
          <w:b/>
          <w:bCs/>
          <w:shd w:val="clear" w:color="auto" w:fill="FFFFFF"/>
        </w:rPr>
        <w:t>资质条件</w:t>
      </w:r>
    </w:p>
    <w:p w14:paraId="5E242485"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1、基本信息</w:t>
      </w:r>
    </w:p>
    <w:p w14:paraId="2B99FAE1"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容诚所初始成立于1988年8月，2013年12月10日改制为特殊普通合伙企业，是国内最早获准从事证券服务业务的会计师事务所之一，长期从事证券服务业务，拥有30多年的证券业务从业经验。容诚所在全国设有19 家分支机构，总部位于北京，注册地址为北京市西城区阜成门外大街22号1幢10层1001-1至1001-26。</w:t>
      </w:r>
    </w:p>
    <w:p w14:paraId="4D3A472E"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2、人员信息</w:t>
      </w:r>
    </w:p>
    <w:p w14:paraId="4FC98774" w14:textId="4AED950D"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容诚所首席合伙人刘维，截至2025年12月31日，容诚所共有合伙人233人，注册会计师1</w:t>
      </w:r>
      <w:r w:rsidR="00D32D0F">
        <w:rPr>
          <w:rFonts w:ascii="宋体" w:hAnsi="宋体" w:hint="eastAsia"/>
          <w:sz w:val="24"/>
          <w:szCs w:val="24"/>
        </w:rPr>
        <w:t>,</w:t>
      </w:r>
      <w:r>
        <w:rPr>
          <w:rFonts w:ascii="宋体" w:hAnsi="宋体" w:hint="eastAsia"/>
          <w:sz w:val="24"/>
          <w:szCs w:val="24"/>
        </w:rPr>
        <w:t>507人，其中856人签署过证券服务业务审计报告。</w:t>
      </w:r>
    </w:p>
    <w:p w14:paraId="015E3B85"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3、业务规模</w:t>
      </w:r>
    </w:p>
    <w:p w14:paraId="171E10A5" w14:textId="77777777" w:rsidR="00B73125" w:rsidRDefault="004C752F">
      <w:pPr>
        <w:adjustRightInd w:val="0"/>
        <w:snapToGrid w:val="0"/>
        <w:spacing w:line="360" w:lineRule="auto"/>
        <w:ind w:firstLine="480"/>
        <w:rPr>
          <w:rFonts w:ascii="宋体" w:hAnsi="宋体"/>
          <w:sz w:val="24"/>
          <w:szCs w:val="24"/>
        </w:rPr>
      </w:pPr>
      <w:r>
        <w:rPr>
          <w:rFonts w:ascii="宋体" w:hAnsi="宋体" w:hint="eastAsia"/>
          <w:sz w:val="24"/>
          <w:szCs w:val="24"/>
        </w:rPr>
        <w:t>容诚所经审计的2024年度收入总额为</w:t>
      </w:r>
      <w:r>
        <w:rPr>
          <w:rFonts w:ascii="宋体" w:hAnsi="宋体"/>
          <w:sz w:val="24"/>
          <w:szCs w:val="24"/>
        </w:rPr>
        <w:t>251,025.80</w:t>
      </w:r>
      <w:r>
        <w:rPr>
          <w:rFonts w:ascii="宋体" w:hAnsi="宋体" w:hint="eastAsia"/>
          <w:sz w:val="24"/>
          <w:szCs w:val="24"/>
        </w:rPr>
        <w:t>万元，其中审计业务收入</w:t>
      </w:r>
      <w:r>
        <w:rPr>
          <w:rFonts w:ascii="宋体" w:hAnsi="宋体"/>
          <w:sz w:val="24"/>
          <w:szCs w:val="24"/>
        </w:rPr>
        <w:t>234,862.94</w:t>
      </w:r>
      <w:r>
        <w:rPr>
          <w:rFonts w:ascii="宋体" w:hAnsi="宋体" w:hint="eastAsia"/>
          <w:sz w:val="24"/>
          <w:szCs w:val="24"/>
        </w:rPr>
        <w:t>万元，证券期货业务收入</w:t>
      </w:r>
      <w:r>
        <w:rPr>
          <w:rFonts w:ascii="宋体" w:hAnsi="宋体"/>
          <w:sz w:val="24"/>
          <w:szCs w:val="24"/>
        </w:rPr>
        <w:t>123,764.58</w:t>
      </w:r>
      <w:r>
        <w:rPr>
          <w:rFonts w:ascii="宋体" w:hAnsi="宋体" w:hint="eastAsia"/>
          <w:sz w:val="24"/>
          <w:szCs w:val="24"/>
        </w:rPr>
        <w:t>万元。容诚所共承担518家上市公司2024年年报审计业务，审计收费总额</w:t>
      </w:r>
      <w:r>
        <w:rPr>
          <w:rFonts w:ascii="宋体" w:hAnsi="宋体"/>
          <w:sz w:val="24"/>
          <w:szCs w:val="24"/>
        </w:rPr>
        <w:t>62,047.52</w:t>
      </w:r>
      <w:r>
        <w:rPr>
          <w:rFonts w:ascii="宋体" w:hAnsi="宋体" w:hint="eastAsia"/>
          <w:sz w:val="24"/>
          <w:szCs w:val="24"/>
        </w:rPr>
        <w:t>万元，客户主要集中在制造业（包括但不限于计算机、通信和其他电子设备制造业、专用设备制造业、电气机械和器材制造业</w:t>
      </w:r>
      <w:r>
        <w:rPr>
          <w:rFonts w:ascii="宋体" w:hAnsi="宋体" w:cs="宋体" w:hint="eastAsia"/>
          <w:sz w:val="24"/>
        </w:rPr>
        <w:t>）</w:t>
      </w:r>
      <w:r>
        <w:rPr>
          <w:rFonts w:ascii="宋体" w:hAnsi="宋体" w:hint="eastAsia"/>
          <w:sz w:val="24"/>
          <w:szCs w:val="24"/>
        </w:rPr>
        <w:t xml:space="preserve">、信息传输、软件和信息技术服务业、批发和零售业、科学研究和技术服务业、建筑业、水利、环境和公共设施管理业等多个行业。与公司同行业的上市公司审计客户14家。 </w:t>
      </w:r>
    </w:p>
    <w:bookmarkEnd w:id="2"/>
    <w:p w14:paraId="77714DAD" w14:textId="77777777" w:rsidR="00B73125" w:rsidRDefault="004C752F">
      <w:pPr>
        <w:pStyle w:val="a7"/>
        <w:shd w:val="clear" w:color="auto" w:fill="FFFFFF"/>
        <w:spacing w:beforeLines="50" w:before="156" w:beforeAutospacing="0" w:afterAutospacing="0" w:line="360" w:lineRule="auto"/>
        <w:ind w:firstLineChars="200" w:firstLine="482"/>
        <w:outlineLvl w:val="0"/>
        <w:rPr>
          <w:b/>
          <w:bCs/>
        </w:rPr>
      </w:pPr>
      <w:r>
        <w:rPr>
          <w:rFonts w:hint="eastAsia"/>
          <w:b/>
          <w:bCs/>
          <w:shd w:val="clear" w:color="auto" w:fill="FFFFFF"/>
        </w:rPr>
        <w:t>二、</w:t>
      </w:r>
      <w:r>
        <w:rPr>
          <w:rFonts w:cs="Times New Roman" w:hint="eastAsia"/>
          <w:b/>
          <w:bCs/>
          <w:shd w:val="clear" w:color="auto" w:fill="FFFFFF"/>
        </w:rPr>
        <w:t>执业记录</w:t>
      </w:r>
    </w:p>
    <w:p w14:paraId="5E3BF51C"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lastRenderedPageBreak/>
        <w:t>容诚所近三年因执业行为受到刑事处罚 0 次、行政处罚1次、监督管理措施 12次、自律监管措施13次、纪律处分4次、自律处分1次。101名从业人员近三年因执业行为受到刑事处罚 0 次、行政处罚4次（共2个项目）、监督管理措施20次、自律监管措施9次、纪律处分10次、自律处分1次。</w:t>
      </w:r>
    </w:p>
    <w:p w14:paraId="1D53C36C" w14:textId="77777777" w:rsidR="00B73125" w:rsidRDefault="004C752F">
      <w:pPr>
        <w:pStyle w:val="a7"/>
        <w:shd w:val="clear" w:color="auto" w:fill="FFFFFF"/>
        <w:spacing w:beforeAutospacing="0" w:afterAutospacing="0" w:line="360" w:lineRule="auto"/>
        <w:ind w:firstLineChars="200" w:firstLine="480"/>
        <w:rPr>
          <w:shd w:val="clear" w:color="auto" w:fill="FFFFFF"/>
        </w:rPr>
      </w:pPr>
      <w:r>
        <w:rPr>
          <w:rFonts w:hint="eastAsia"/>
          <w:shd w:val="clear" w:color="auto" w:fill="FFFFFF"/>
        </w:rPr>
        <w:t>根据相关法律法规的规定，前述监督管理措施和自律监管措施及自律处分不影响容诚所继续承接或执行证券服务业务和其他业务。</w:t>
      </w:r>
    </w:p>
    <w:p w14:paraId="317CD0B7" w14:textId="77777777" w:rsidR="00B73125" w:rsidRDefault="004C752F">
      <w:pPr>
        <w:pStyle w:val="a7"/>
        <w:shd w:val="clear" w:color="auto" w:fill="FFFFFF"/>
        <w:spacing w:beforeAutospacing="0" w:afterAutospacing="0" w:line="360" w:lineRule="auto"/>
        <w:ind w:firstLineChars="200" w:firstLine="482"/>
        <w:outlineLvl w:val="0"/>
        <w:rPr>
          <w:b/>
          <w:bCs/>
          <w:shd w:val="clear" w:color="auto" w:fill="FFFFFF"/>
        </w:rPr>
      </w:pPr>
      <w:r>
        <w:rPr>
          <w:rFonts w:hint="eastAsia"/>
          <w:b/>
          <w:bCs/>
          <w:shd w:val="clear" w:color="auto" w:fill="FFFFFF"/>
        </w:rPr>
        <w:t xml:space="preserve">三、人力及其他资源配备 </w:t>
      </w:r>
    </w:p>
    <w:p w14:paraId="1C5FC517"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配备了专属审计工作团队，核心团队成员均具备多年上市公司审计经验，并拥有中国注册会计师等专业资质。容诚所建立了完善的服务支持体系及专业的后台支持团队，包括税务、信息系统、内控、风险管理、财务管理、金融工具及可持续发展服务等多领域专家，且技术专家后台前置，全程参与对审计服务的支持。</w:t>
      </w:r>
    </w:p>
    <w:p w14:paraId="57379A53"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项目签字合伙人：</w:t>
      </w:r>
      <w:proofErr w:type="gramStart"/>
      <w:r>
        <w:rPr>
          <w:rFonts w:ascii="宋体" w:hAnsi="宋体" w:hint="eastAsia"/>
          <w:sz w:val="24"/>
          <w:szCs w:val="24"/>
        </w:rPr>
        <w:t>熊延森</w:t>
      </w:r>
      <w:proofErr w:type="gramEnd"/>
      <w:r>
        <w:rPr>
          <w:rFonts w:ascii="宋体" w:hAnsi="宋体" w:hint="eastAsia"/>
          <w:sz w:val="24"/>
          <w:szCs w:val="24"/>
        </w:rPr>
        <w:t>，2015年成为中国注册会计师，2013年开始从事上市公司审计业务，2013年开始在容诚会计师事务所执业；近三年签署过国机通用（600444）、双枪科技（001211）、华恒生物（688639）等上市公司审计报告。</w:t>
      </w:r>
    </w:p>
    <w:p w14:paraId="00EDF0C1"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项目签字注册会计师：冯屹巍，2020年成为中国注册会计师，2014年开始从事上市公司审计业务，2014年开始在容诚会计师事务所执业；近三年签署过安徽建工（600502）、</w:t>
      </w:r>
      <w:proofErr w:type="gramStart"/>
      <w:r>
        <w:rPr>
          <w:rFonts w:ascii="宋体" w:hAnsi="宋体" w:hint="eastAsia"/>
          <w:sz w:val="24"/>
          <w:szCs w:val="24"/>
        </w:rPr>
        <w:t>交建股份</w:t>
      </w:r>
      <w:proofErr w:type="gramEnd"/>
      <w:r>
        <w:rPr>
          <w:rFonts w:ascii="宋体" w:hAnsi="宋体" w:hint="eastAsia"/>
          <w:sz w:val="24"/>
          <w:szCs w:val="24"/>
        </w:rPr>
        <w:t>（603815）等上市公司审计报告。</w:t>
      </w:r>
    </w:p>
    <w:p w14:paraId="225A321C" w14:textId="77777777" w:rsidR="008E3D29" w:rsidRDefault="008E3D29">
      <w:pPr>
        <w:widowControl/>
        <w:shd w:val="clear" w:color="auto" w:fill="FFFFFF"/>
        <w:spacing w:line="360" w:lineRule="auto"/>
        <w:ind w:firstLine="460"/>
        <w:rPr>
          <w:rFonts w:ascii="宋体" w:hAnsi="宋体" w:hint="eastAsia"/>
          <w:sz w:val="24"/>
          <w:szCs w:val="24"/>
        </w:rPr>
      </w:pPr>
      <w:r w:rsidRPr="008E3D29">
        <w:rPr>
          <w:rFonts w:ascii="宋体" w:hAnsi="宋体" w:hint="eastAsia"/>
          <w:sz w:val="24"/>
          <w:szCs w:val="24"/>
        </w:rPr>
        <w:t>项目质量复核人：张传艳，2006年成为中国注册会计师，2007年开始从事上市公司审计业务，2007年开始在容诚会计师事务所执业；近三年签署或复核过阳光电源(300274.SZ)、</w:t>
      </w:r>
      <w:proofErr w:type="gramStart"/>
      <w:r w:rsidRPr="008E3D29">
        <w:rPr>
          <w:rFonts w:ascii="宋体" w:hAnsi="宋体" w:hint="eastAsia"/>
          <w:sz w:val="24"/>
          <w:szCs w:val="24"/>
        </w:rPr>
        <w:t>科大讯飞</w:t>
      </w:r>
      <w:proofErr w:type="gramEnd"/>
      <w:r w:rsidRPr="008E3D29">
        <w:rPr>
          <w:rFonts w:ascii="宋体" w:hAnsi="宋体" w:hint="eastAsia"/>
          <w:sz w:val="24"/>
          <w:szCs w:val="24"/>
        </w:rPr>
        <w:t>(002230.SZ)、江河集团(601886.SH)等多家上市公司和挂牌公司审计报告。</w:t>
      </w:r>
    </w:p>
    <w:p w14:paraId="6B1B6BA2" w14:textId="79412825" w:rsidR="00B73125" w:rsidRDefault="004C752F">
      <w:pPr>
        <w:widowControl/>
        <w:shd w:val="clear" w:color="auto" w:fill="FFFFFF"/>
        <w:spacing w:line="360" w:lineRule="auto"/>
        <w:ind w:firstLine="460"/>
        <w:rPr>
          <w:rFonts w:ascii="宋体" w:hAnsi="宋体"/>
          <w:sz w:val="24"/>
          <w:szCs w:val="24"/>
        </w:rPr>
      </w:pPr>
      <w:bookmarkStart w:id="3" w:name="_GoBack"/>
      <w:bookmarkEnd w:id="3"/>
      <w:r>
        <w:rPr>
          <w:rFonts w:ascii="宋体" w:hAnsi="宋体" w:hint="eastAsia"/>
          <w:sz w:val="24"/>
          <w:szCs w:val="24"/>
        </w:rPr>
        <w:t>前述项目合伙人、签字注册会计师、项目质量控制复核人近三年不存在因执业行为受到刑事处罚，未受到证监会及其派出机构、行业主管部门等的行政处罚、监督管理措施，未受到证券交易所、行业协会等自律组织的自律监管措施、纪律处分等情况。</w:t>
      </w:r>
    </w:p>
    <w:p w14:paraId="7B0D4DE9"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容诚所和前述签字项目合伙人、签字注册会计师及项目质量复核人员不存在违反《中国注册会计师职业道德守则》可能影响独立性的情形。</w:t>
      </w:r>
    </w:p>
    <w:p w14:paraId="1BDAB3E5" w14:textId="77777777" w:rsidR="00B73125" w:rsidRDefault="004C752F">
      <w:pPr>
        <w:widowControl/>
        <w:shd w:val="clear" w:color="auto" w:fill="FFFFFF"/>
        <w:spacing w:line="360" w:lineRule="auto"/>
        <w:ind w:firstLine="459"/>
        <w:outlineLvl w:val="0"/>
        <w:rPr>
          <w:rFonts w:ascii="宋体" w:hAnsi="宋体"/>
          <w:b/>
          <w:bCs/>
          <w:sz w:val="24"/>
          <w:szCs w:val="24"/>
        </w:rPr>
      </w:pPr>
      <w:r>
        <w:rPr>
          <w:rFonts w:ascii="宋体" w:hAnsi="宋体" w:hint="eastAsia"/>
          <w:b/>
          <w:bCs/>
          <w:sz w:val="24"/>
          <w:szCs w:val="24"/>
        </w:rPr>
        <w:lastRenderedPageBreak/>
        <w:t xml:space="preserve">四、质量管理水平 </w:t>
      </w:r>
    </w:p>
    <w:p w14:paraId="30342871"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1、项目咨询</w:t>
      </w:r>
    </w:p>
    <w:p w14:paraId="5C003F21"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2025年年度审计过程中，容诚所就公司重大会计审计事项与专业技术部及时咨询，按时解决公司重点难点技术问题。</w:t>
      </w:r>
    </w:p>
    <w:p w14:paraId="1082CB27"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2、意见分歧解决</w:t>
      </w:r>
    </w:p>
    <w:p w14:paraId="04B85BCE"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制定了明确的专业意见分歧解决机制。当项目组成员、项目质量复核人或专业技术部成员之间存在未解决的专业意见分歧时，需要咨询专业技术部负责人。在专业意见分歧解决之前不得出具报告。2025年年度审计过程中，容诚所就公司的所有重大会计审计事项达成一致意见，无不能解决的意见分歧。</w:t>
      </w:r>
    </w:p>
    <w:p w14:paraId="2FA6B000"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3、项目质量复核</w:t>
      </w:r>
    </w:p>
    <w:p w14:paraId="28BAB263"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审计过程中，容诚所实施完善的项目质量复核程序，主要包括审计项目组内部复核、独立项目质量复核以及专业技术复核。</w:t>
      </w:r>
    </w:p>
    <w:p w14:paraId="1D5A5742"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4、项目质量检查</w:t>
      </w:r>
    </w:p>
    <w:p w14:paraId="2DD249E8" w14:textId="77777777" w:rsidR="00B73125" w:rsidRDefault="004C752F">
      <w:pPr>
        <w:widowControl/>
        <w:shd w:val="clear" w:color="auto" w:fill="FFFFFF"/>
        <w:spacing w:line="360" w:lineRule="auto"/>
        <w:ind w:firstLine="460"/>
        <w:rPr>
          <w:rFonts w:ascii="宋体" w:hAnsi="宋体"/>
          <w:sz w:val="24"/>
          <w:szCs w:val="24"/>
        </w:rPr>
      </w:pPr>
      <w:proofErr w:type="gramStart"/>
      <w:r>
        <w:rPr>
          <w:rFonts w:ascii="宋体" w:hAnsi="宋体" w:hint="eastAsia"/>
          <w:sz w:val="24"/>
          <w:szCs w:val="24"/>
        </w:rPr>
        <w:t>容诚所质控</w:t>
      </w:r>
      <w:proofErr w:type="gramEnd"/>
      <w:r>
        <w:rPr>
          <w:rFonts w:ascii="宋体" w:hAnsi="宋体" w:hint="eastAsia"/>
          <w:sz w:val="24"/>
          <w:szCs w:val="24"/>
        </w:rPr>
        <w:t>部门负责对质量管理体系的监督和整改的运行承担责任。容诚所质量管理体系的监控活动包括：质量管理关键控制点的测试；对质量管理体系范围内已完成项目的检查；根据职业道德准则要求对事务所和个人进行独立性监控；其他监控活动。确保项目组在报告签署之前已经按照项目质量管理要求充分、恰当地执行审计程序。</w:t>
      </w:r>
    </w:p>
    <w:p w14:paraId="776A1555" w14:textId="77777777" w:rsidR="00B73125" w:rsidRDefault="004C752F">
      <w:pPr>
        <w:widowControl/>
        <w:shd w:val="clear" w:color="auto" w:fill="FFFFFF"/>
        <w:spacing w:line="360" w:lineRule="auto"/>
        <w:ind w:firstLine="459"/>
        <w:outlineLvl w:val="1"/>
        <w:rPr>
          <w:rFonts w:ascii="宋体" w:hAnsi="宋体"/>
          <w:sz w:val="24"/>
          <w:szCs w:val="24"/>
        </w:rPr>
      </w:pPr>
      <w:r>
        <w:rPr>
          <w:rFonts w:ascii="宋体" w:hAnsi="宋体" w:hint="eastAsia"/>
          <w:sz w:val="24"/>
          <w:szCs w:val="24"/>
        </w:rPr>
        <w:t>5、质量管理缺陷识别与整改</w:t>
      </w:r>
    </w:p>
    <w:p w14:paraId="3BC145BB"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根据注册会计师职业道德规范和审计准则的有关规定，在会计师事务所的风险评估程序、治理和领导层、相关职业道德要求、客户关系和具体业务的接受与保持、业务执行、资源、信息与沟通、监控和整改程序等八个组成要素方面都制定了相应的内部管理制度和政策，这些制度和政策构成容诚所完整、全面的质量管理体系。基于该质量管理体系，容诚所在近一年的审计过程中没有识别出质量管理缺陷。</w:t>
      </w:r>
    </w:p>
    <w:p w14:paraId="636394D0"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sz w:val="24"/>
          <w:szCs w:val="24"/>
        </w:rPr>
        <w:t>综上，2025年年度审计过程中，容诚所勤勉尽责，质量管理的各项措施得到了有效执行。</w:t>
      </w:r>
    </w:p>
    <w:p w14:paraId="009CE77C" w14:textId="77777777" w:rsidR="00B73125" w:rsidRDefault="004C752F">
      <w:pPr>
        <w:widowControl/>
        <w:shd w:val="clear" w:color="auto" w:fill="FFFFFF"/>
        <w:spacing w:line="360" w:lineRule="auto"/>
        <w:ind w:firstLine="459"/>
        <w:outlineLvl w:val="0"/>
        <w:rPr>
          <w:rFonts w:ascii="宋体" w:hAnsi="宋体"/>
          <w:b/>
          <w:bCs/>
          <w:sz w:val="24"/>
          <w:szCs w:val="24"/>
        </w:rPr>
      </w:pPr>
      <w:r>
        <w:rPr>
          <w:rFonts w:ascii="宋体" w:hAnsi="宋体" w:hint="eastAsia"/>
          <w:b/>
          <w:bCs/>
          <w:sz w:val="24"/>
          <w:szCs w:val="24"/>
        </w:rPr>
        <w:t>五、工作方案</w:t>
      </w:r>
    </w:p>
    <w:p w14:paraId="1E693DA4"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lastRenderedPageBreak/>
        <w:t>2025年年度审计过程中，容诚所针对公司的服务需求及被审计单位的实际情况，制定全面、合理、可操作性强的审计工作方案。审计工作围绕被审计单位的审计重点展开，其中包括收入确认、成本核算、资产减值、递延所得税确认、金融工具、合并报表、关联方交易、租赁业务等。</w:t>
      </w:r>
    </w:p>
    <w:p w14:paraId="466E7BE5"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容诚所全面配合公司审计工作，充分满足了上市公司报告披露时间要求。容诚所就预审、终审等阶段制定了详细的审计计划与合理有序的时间安排，并且能够根据计划安排按时提交各项工作报告。</w:t>
      </w:r>
    </w:p>
    <w:p w14:paraId="1793D1D4" w14:textId="77777777" w:rsidR="00B73125" w:rsidRDefault="004C752F">
      <w:pPr>
        <w:widowControl/>
        <w:shd w:val="clear" w:color="auto" w:fill="FFFFFF"/>
        <w:spacing w:line="360" w:lineRule="auto"/>
        <w:ind w:firstLine="459"/>
        <w:outlineLvl w:val="0"/>
        <w:rPr>
          <w:rFonts w:ascii="宋体" w:hAnsi="宋体"/>
          <w:b/>
          <w:bCs/>
          <w:sz w:val="24"/>
          <w:szCs w:val="24"/>
        </w:rPr>
      </w:pPr>
      <w:r>
        <w:rPr>
          <w:rFonts w:ascii="宋体" w:hAnsi="宋体" w:hint="eastAsia"/>
          <w:b/>
          <w:bCs/>
          <w:sz w:val="24"/>
          <w:szCs w:val="24"/>
        </w:rPr>
        <w:t>六、信息安全管理</w:t>
      </w:r>
    </w:p>
    <w:p w14:paraId="1CE574B4"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公司在聘任合同中明确约定了容诚所在信息安全管理中的责任义务。容诚所制定了涵盖档案管理、保密制度、突发事件处理等系统性的信息安全控制制度，在制定审计方案和实施审计工作的过程中，也考虑了对敏感信息、保密信息的检查、处理、脱敏和归档管理，并能够有效执行。</w:t>
      </w:r>
    </w:p>
    <w:p w14:paraId="29BAEA32" w14:textId="77777777" w:rsidR="00B73125" w:rsidRDefault="004C752F">
      <w:pPr>
        <w:widowControl/>
        <w:shd w:val="clear" w:color="auto" w:fill="FFFFFF"/>
        <w:spacing w:line="360" w:lineRule="auto"/>
        <w:ind w:firstLine="459"/>
        <w:outlineLvl w:val="0"/>
        <w:rPr>
          <w:rFonts w:ascii="宋体" w:hAnsi="宋体"/>
          <w:b/>
          <w:bCs/>
          <w:sz w:val="24"/>
          <w:szCs w:val="24"/>
        </w:rPr>
      </w:pPr>
      <w:r>
        <w:rPr>
          <w:rFonts w:ascii="宋体" w:hAnsi="宋体" w:hint="eastAsia"/>
          <w:b/>
          <w:bCs/>
          <w:sz w:val="24"/>
          <w:szCs w:val="24"/>
        </w:rPr>
        <w:t>七、风险承担能力水平</w:t>
      </w:r>
    </w:p>
    <w:p w14:paraId="02B73A9D"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容诚所具有良好的投资者保护能力，已购买注册会计师职业责任保险，职业保险累计赔偿限额不低于2.5亿元，职业保险购买符合相关规定。</w:t>
      </w:r>
    </w:p>
    <w:p w14:paraId="4A504039"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近三年在执业中相关民事诉讼承担民事责任的情况：</w:t>
      </w:r>
    </w:p>
    <w:p w14:paraId="03BCA47A" w14:textId="7BDA8376" w:rsidR="00B73125" w:rsidRDefault="004C752F">
      <w:pPr>
        <w:widowControl/>
        <w:shd w:val="clear" w:color="auto" w:fill="FFFFFF"/>
        <w:spacing w:line="360" w:lineRule="auto"/>
        <w:ind w:firstLine="460"/>
        <w:rPr>
          <w:rFonts w:ascii="宋体" w:hAnsi="宋体"/>
          <w:sz w:val="24"/>
          <w:szCs w:val="24"/>
        </w:rPr>
      </w:pPr>
      <w:r>
        <w:rPr>
          <w:rFonts w:ascii="宋体" w:hAnsi="宋体" w:hint="eastAsia"/>
          <w:sz w:val="24"/>
          <w:szCs w:val="24"/>
        </w:rPr>
        <w:t>2023年9月21日，北京金融法院就乐视网信息技术（北京）股份有限公司（以下简称乐视网）证券虚假陈述责任纠纷案 [(2021)京 74 民初 111 号]</w:t>
      </w:r>
      <w:proofErr w:type="gramStart"/>
      <w:r>
        <w:rPr>
          <w:rFonts w:ascii="宋体" w:hAnsi="宋体" w:hint="eastAsia"/>
          <w:sz w:val="24"/>
          <w:szCs w:val="24"/>
        </w:rPr>
        <w:t>作出</w:t>
      </w:r>
      <w:proofErr w:type="gramEnd"/>
      <w:r>
        <w:rPr>
          <w:rFonts w:ascii="宋体" w:hAnsi="宋体" w:hint="eastAsia"/>
          <w:sz w:val="24"/>
          <w:szCs w:val="24"/>
        </w:rPr>
        <w:t>判决，判决华普天健会计师事务所（北京）有限公司和容诚会计师事务所（特殊普通合伙）共同就2011年3月17日（含）之后曾买入</w:t>
      </w:r>
      <w:proofErr w:type="gramStart"/>
      <w:r>
        <w:rPr>
          <w:rFonts w:ascii="宋体" w:hAnsi="宋体" w:hint="eastAsia"/>
          <w:sz w:val="24"/>
          <w:szCs w:val="24"/>
        </w:rPr>
        <w:t>过乐视网股票</w:t>
      </w:r>
      <w:proofErr w:type="gramEnd"/>
      <w:r>
        <w:rPr>
          <w:rFonts w:ascii="宋体" w:hAnsi="宋体" w:hint="eastAsia"/>
          <w:sz w:val="24"/>
          <w:szCs w:val="24"/>
        </w:rPr>
        <w:t>的原告投资者的损失，在1%范围内与被告乐视</w:t>
      </w:r>
      <w:proofErr w:type="gramStart"/>
      <w:r>
        <w:rPr>
          <w:rFonts w:ascii="宋体" w:hAnsi="宋体" w:hint="eastAsia"/>
          <w:sz w:val="24"/>
          <w:szCs w:val="24"/>
        </w:rPr>
        <w:t>网承担</w:t>
      </w:r>
      <w:proofErr w:type="gramEnd"/>
      <w:r>
        <w:rPr>
          <w:rFonts w:ascii="宋体" w:hAnsi="宋体" w:hint="eastAsia"/>
          <w:sz w:val="24"/>
          <w:szCs w:val="24"/>
        </w:rPr>
        <w:t>连带赔偿责任。华普天</w:t>
      </w:r>
      <w:proofErr w:type="gramStart"/>
      <w:r>
        <w:rPr>
          <w:rFonts w:ascii="宋体" w:hAnsi="宋体" w:hint="eastAsia"/>
          <w:sz w:val="24"/>
          <w:szCs w:val="24"/>
        </w:rPr>
        <w:t>健咨询</w:t>
      </w:r>
      <w:proofErr w:type="gramEnd"/>
      <w:r>
        <w:rPr>
          <w:rFonts w:ascii="宋体" w:hAnsi="宋体" w:hint="eastAsia"/>
          <w:sz w:val="24"/>
          <w:szCs w:val="24"/>
        </w:rPr>
        <w:t>及</w:t>
      </w:r>
      <w:r w:rsidR="00D32D0F" w:rsidRPr="00D32D0F">
        <w:rPr>
          <w:rFonts w:ascii="宋体" w:hAnsi="宋体" w:hint="eastAsia"/>
          <w:sz w:val="24"/>
          <w:szCs w:val="24"/>
        </w:rPr>
        <w:t>容诚所</w:t>
      </w:r>
      <w:r>
        <w:rPr>
          <w:rFonts w:ascii="宋体" w:hAnsi="宋体" w:hint="eastAsia"/>
          <w:sz w:val="24"/>
          <w:szCs w:val="24"/>
        </w:rPr>
        <w:t>收到判决后已提起上诉，截至目前，本案尚在二审诉讼程序中。</w:t>
      </w:r>
    </w:p>
    <w:p w14:paraId="76FE97A9" w14:textId="77777777" w:rsidR="00B73125" w:rsidRDefault="004C752F">
      <w:pPr>
        <w:pStyle w:val="a7"/>
        <w:shd w:val="clear" w:color="auto" w:fill="FFFFFF"/>
        <w:spacing w:beforeAutospacing="0" w:afterAutospacing="0" w:line="360" w:lineRule="auto"/>
        <w:ind w:firstLineChars="200" w:firstLine="482"/>
        <w:outlineLvl w:val="0"/>
        <w:rPr>
          <w:b/>
          <w:bCs/>
        </w:rPr>
      </w:pPr>
      <w:r>
        <w:rPr>
          <w:rFonts w:hint="eastAsia"/>
          <w:b/>
          <w:bCs/>
          <w:shd w:val="clear" w:color="auto" w:fill="FFFFFF"/>
        </w:rPr>
        <w:t>八、总体评价</w:t>
      </w:r>
    </w:p>
    <w:p w14:paraId="07680394" w14:textId="77777777" w:rsidR="00B73125" w:rsidRDefault="004C752F">
      <w:pPr>
        <w:widowControl/>
        <w:shd w:val="clear" w:color="auto" w:fill="FFFFFF"/>
        <w:spacing w:line="360" w:lineRule="auto"/>
        <w:ind w:firstLine="460"/>
        <w:rPr>
          <w:rFonts w:ascii="宋体" w:hAnsi="宋体"/>
          <w:sz w:val="24"/>
          <w:szCs w:val="24"/>
        </w:rPr>
      </w:pPr>
      <w:r>
        <w:rPr>
          <w:rFonts w:ascii="宋体" w:hAnsi="宋体"/>
          <w:sz w:val="24"/>
          <w:szCs w:val="24"/>
        </w:rPr>
        <w:t>公司对容诚所的专业资质、业务能力、诚信状况、独立性、过往审计工作情况及其执业质量等进行了严格核查和评价，认为容诚所在公司年报审计过程中坚持以公允、客观的态度进行独立审计，表现了良好的职业操守和业务素质，按时完成了公司2025年年报审计相关工作，审计行为规范有序，出具的审计报告客观、完整、清晰、及时，能够满足本公司审计工作的要求。</w:t>
      </w:r>
    </w:p>
    <w:p w14:paraId="3C5E044E" w14:textId="77777777" w:rsidR="00B73125" w:rsidRDefault="00B73125">
      <w:pPr>
        <w:widowControl/>
        <w:shd w:val="clear" w:color="auto" w:fill="FFFFFF"/>
        <w:spacing w:line="360" w:lineRule="auto"/>
        <w:ind w:firstLine="460"/>
        <w:rPr>
          <w:rFonts w:ascii="宋体" w:hAnsi="宋体"/>
          <w:sz w:val="24"/>
          <w:szCs w:val="24"/>
        </w:rPr>
      </w:pPr>
    </w:p>
    <w:p w14:paraId="02B6D053" w14:textId="77777777" w:rsidR="00B73125" w:rsidRDefault="00B73125">
      <w:pPr>
        <w:widowControl/>
        <w:shd w:val="clear" w:color="auto" w:fill="FFFFFF"/>
        <w:spacing w:line="360" w:lineRule="auto"/>
        <w:ind w:firstLine="460"/>
        <w:rPr>
          <w:rFonts w:ascii="宋体" w:hAnsi="宋体"/>
          <w:sz w:val="24"/>
          <w:szCs w:val="24"/>
        </w:rPr>
      </w:pPr>
    </w:p>
    <w:p w14:paraId="77BA3759" w14:textId="77777777" w:rsidR="00B73125" w:rsidRDefault="00B73125">
      <w:pPr>
        <w:widowControl/>
        <w:shd w:val="clear" w:color="auto" w:fill="FFFFFF"/>
        <w:spacing w:line="360" w:lineRule="auto"/>
        <w:ind w:firstLine="460"/>
        <w:rPr>
          <w:rFonts w:ascii="宋体" w:hAnsi="宋体"/>
          <w:sz w:val="24"/>
          <w:szCs w:val="24"/>
        </w:rPr>
      </w:pPr>
    </w:p>
    <w:p w14:paraId="7DD7FF5F" w14:textId="77777777" w:rsidR="00B73125" w:rsidRDefault="004C752F">
      <w:pPr>
        <w:snapToGrid w:val="0"/>
        <w:spacing w:line="360" w:lineRule="auto"/>
        <w:ind w:firstLineChars="500" w:firstLine="1200"/>
        <w:jc w:val="right"/>
        <w:rPr>
          <w:rFonts w:ascii="宋体" w:hAnsi="宋体"/>
          <w:sz w:val="24"/>
          <w:szCs w:val="24"/>
        </w:rPr>
      </w:pPr>
      <w:r>
        <w:rPr>
          <w:rFonts w:ascii="宋体" w:hAnsi="宋体" w:hint="eastAsia"/>
          <w:sz w:val="24"/>
          <w:szCs w:val="24"/>
        </w:rPr>
        <w:t>安徽省交通建设股份有限公司</w:t>
      </w:r>
    </w:p>
    <w:p w14:paraId="02586794" w14:textId="77777777" w:rsidR="00B73125" w:rsidRDefault="004C752F">
      <w:pPr>
        <w:snapToGrid w:val="0"/>
        <w:spacing w:line="360" w:lineRule="auto"/>
        <w:ind w:firstLineChars="500" w:firstLine="1200"/>
        <w:jc w:val="center"/>
      </w:pPr>
      <w:r>
        <w:rPr>
          <w:rFonts w:ascii="宋体" w:hAnsi="宋体" w:hint="eastAsia"/>
          <w:sz w:val="24"/>
          <w:szCs w:val="24"/>
        </w:rPr>
        <w:t xml:space="preserve">                                         2026年4月26日</w:t>
      </w:r>
    </w:p>
    <w:sectPr w:rsidR="00B731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233BA" w14:textId="77777777" w:rsidR="00D40747" w:rsidRDefault="00D40747" w:rsidP="00D32D0F">
      <w:r>
        <w:separator/>
      </w:r>
    </w:p>
  </w:endnote>
  <w:endnote w:type="continuationSeparator" w:id="0">
    <w:p w14:paraId="1FB89E00" w14:textId="77777777" w:rsidR="00D40747" w:rsidRDefault="00D40747" w:rsidP="00D3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D3EAC" w14:textId="77777777" w:rsidR="00D40747" w:rsidRDefault="00D40747" w:rsidP="00D32D0F">
      <w:r>
        <w:separator/>
      </w:r>
    </w:p>
  </w:footnote>
  <w:footnote w:type="continuationSeparator" w:id="0">
    <w:p w14:paraId="02423C7C" w14:textId="77777777" w:rsidR="00D40747" w:rsidRDefault="00D40747" w:rsidP="00D32D0F">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阿花">
    <w15:presenceInfo w15:providerId="WPS Office" w15:userId="2428480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A188D"/>
    <w:rsid w:val="000171F1"/>
    <w:rsid w:val="00017B2C"/>
    <w:rsid w:val="00054074"/>
    <w:rsid w:val="00095917"/>
    <w:rsid w:val="000B0B5E"/>
    <w:rsid w:val="000D4498"/>
    <w:rsid w:val="000D73F7"/>
    <w:rsid w:val="000F101B"/>
    <w:rsid w:val="000F78BE"/>
    <w:rsid w:val="00115422"/>
    <w:rsid w:val="00143C23"/>
    <w:rsid w:val="001A31A8"/>
    <w:rsid w:val="001B01B1"/>
    <w:rsid w:val="001B0D6E"/>
    <w:rsid w:val="001C70DA"/>
    <w:rsid w:val="001F5910"/>
    <w:rsid w:val="0025130C"/>
    <w:rsid w:val="00252BB7"/>
    <w:rsid w:val="002743EF"/>
    <w:rsid w:val="00287FF0"/>
    <w:rsid w:val="002A62A3"/>
    <w:rsid w:val="002B3156"/>
    <w:rsid w:val="00304079"/>
    <w:rsid w:val="0030550C"/>
    <w:rsid w:val="003208FD"/>
    <w:rsid w:val="00322B58"/>
    <w:rsid w:val="00335078"/>
    <w:rsid w:val="0033731D"/>
    <w:rsid w:val="00353805"/>
    <w:rsid w:val="00362656"/>
    <w:rsid w:val="00366617"/>
    <w:rsid w:val="003A2110"/>
    <w:rsid w:val="003C7DD7"/>
    <w:rsid w:val="003D5B3B"/>
    <w:rsid w:val="003D746C"/>
    <w:rsid w:val="00442141"/>
    <w:rsid w:val="00462DB0"/>
    <w:rsid w:val="0047196D"/>
    <w:rsid w:val="00477133"/>
    <w:rsid w:val="0049082A"/>
    <w:rsid w:val="004C6AB4"/>
    <w:rsid w:val="004C752F"/>
    <w:rsid w:val="004F5131"/>
    <w:rsid w:val="004F5BAC"/>
    <w:rsid w:val="00521B32"/>
    <w:rsid w:val="0053173E"/>
    <w:rsid w:val="0053382C"/>
    <w:rsid w:val="0055475F"/>
    <w:rsid w:val="00556E07"/>
    <w:rsid w:val="00562623"/>
    <w:rsid w:val="005B7211"/>
    <w:rsid w:val="005F0AB5"/>
    <w:rsid w:val="005F63F5"/>
    <w:rsid w:val="005F72E9"/>
    <w:rsid w:val="00601AEE"/>
    <w:rsid w:val="00655B9B"/>
    <w:rsid w:val="006875D5"/>
    <w:rsid w:val="006A6FC2"/>
    <w:rsid w:val="006B0225"/>
    <w:rsid w:val="006B4935"/>
    <w:rsid w:val="006D77D9"/>
    <w:rsid w:val="00723340"/>
    <w:rsid w:val="00726BB2"/>
    <w:rsid w:val="00732EDD"/>
    <w:rsid w:val="0076382F"/>
    <w:rsid w:val="00767CC5"/>
    <w:rsid w:val="007A4A59"/>
    <w:rsid w:val="007C3CB2"/>
    <w:rsid w:val="007D6FEE"/>
    <w:rsid w:val="007E35D8"/>
    <w:rsid w:val="00810897"/>
    <w:rsid w:val="0082248E"/>
    <w:rsid w:val="00824977"/>
    <w:rsid w:val="00837331"/>
    <w:rsid w:val="00856655"/>
    <w:rsid w:val="00857165"/>
    <w:rsid w:val="008928F0"/>
    <w:rsid w:val="00897530"/>
    <w:rsid w:val="008A188D"/>
    <w:rsid w:val="008E3D29"/>
    <w:rsid w:val="00967A7F"/>
    <w:rsid w:val="009859C1"/>
    <w:rsid w:val="00985E52"/>
    <w:rsid w:val="009A3701"/>
    <w:rsid w:val="009C381F"/>
    <w:rsid w:val="009C4F25"/>
    <w:rsid w:val="00A16D7C"/>
    <w:rsid w:val="00A23CD3"/>
    <w:rsid w:val="00A31800"/>
    <w:rsid w:val="00A36E03"/>
    <w:rsid w:val="00A37FFE"/>
    <w:rsid w:val="00AB30C0"/>
    <w:rsid w:val="00AB382E"/>
    <w:rsid w:val="00AE0D8D"/>
    <w:rsid w:val="00AF341D"/>
    <w:rsid w:val="00B1599F"/>
    <w:rsid w:val="00B17F1A"/>
    <w:rsid w:val="00B20989"/>
    <w:rsid w:val="00B600C6"/>
    <w:rsid w:val="00B64616"/>
    <w:rsid w:val="00B73125"/>
    <w:rsid w:val="00BC78DD"/>
    <w:rsid w:val="00C074A5"/>
    <w:rsid w:val="00C1001D"/>
    <w:rsid w:val="00C135FE"/>
    <w:rsid w:val="00C33987"/>
    <w:rsid w:val="00C43571"/>
    <w:rsid w:val="00C43D9C"/>
    <w:rsid w:val="00C977A8"/>
    <w:rsid w:val="00CB4094"/>
    <w:rsid w:val="00CD6C58"/>
    <w:rsid w:val="00CE0870"/>
    <w:rsid w:val="00CE5679"/>
    <w:rsid w:val="00D32D0F"/>
    <w:rsid w:val="00D366BD"/>
    <w:rsid w:val="00D40747"/>
    <w:rsid w:val="00D527EF"/>
    <w:rsid w:val="00D71C7F"/>
    <w:rsid w:val="00D82DAC"/>
    <w:rsid w:val="00D8323D"/>
    <w:rsid w:val="00D86246"/>
    <w:rsid w:val="00D94FA9"/>
    <w:rsid w:val="00DE050F"/>
    <w:rsid w:val="00DF319A"/>
    <w:rsid w:val="00DF3813"/>
    <w:rsid w:val="00DF7EDF"/>
    <w:rsid w:val="00E548F6"/>
    <w:rsid w:val="00E611EF"/>
    <w:rsid w:val="00EB05F7"/>
    <w:rsid w:val="00EC57FE"/>
    <w:rsid w:val="00ED024F"/>
    <w:rsid w:val="00EE17E9"/>
    <w:rsid w:val="00EE489B"/>
    <w:rsid w:val="00EE7640"/>
    <w:rsid w:val="00EF156F"/>
    <w:rsid w:val="00F006C5"/>
    <w:rsid w:val="00F1340D"/>
    <w:rsid w:val="00F16CD1"/>
    <w:rsid w:val="00F52C49"/>
    <w:rsid w:val="00F636FB"/>
    <w:rsid w:val="00F724D9"/>
    <w:rsid w:val="00F834B1"/>
    <w:rsid w:val="00FA7C7C"/>
    <w:rsid w:val="1DD95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semiHidden/>
    <w:unhideWhenUsed/>
    <w:rPr>
      <w:b/>
      <w:bCs/>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qFormat/>
    <w:rPr>
      <w:sz w:val="21"/>
      <w:szCs w:val="21"/>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
    <w:name w:val="批注文字 Char"/>
    <w:basedOn w:val="a0"/>
    <w:link w:val="a3"/>
    <w:uiPriority w:val="99"/>
    <w:semiHidden/>
    <w:rPr>
      <w:rFonts w:ascii="Times New Roman" w:eastAsia="宋体" w:hAnsi="Times New Roman" w:cs="Times New Roman"/>
    </w:rPr>
  </w:style>
  <w:style w:type="character" w:customStyle="1" w:styleId="Char3">
    <w:name w:val="批注主题 Char"/>
    <w:basedOn w:val="Char"/>
    <w:link w:val="a8"/>
    <w:uiPriority w:val="99"/>
    <w:semiHidden/>
    <w:rPr>
      <w:rFonts w:ascii="Times New Roman" w:eastAsia="宋体" w:hAnsi="Times New Roman" w:cs="Times New Roman"/>
      <w:b/>
      <w:bCs/>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paragraph" w:customStyle="1" w:styleId="1">
    <w:name w:val="修订1"/>
    <w:hidden/>
    <w:uiPriority w:val="99"/>
    <w:semiHidden/>
    <w:rPr>
      <w:rFonts w:ascii="Times New Roman" w:eastAsia="宋体" w:hAnsi="Times New Roman" w:cs="Times New Roman"/>
      <w:kern w:val="2"/>
      <w:sz w:val="21"/>
      <w:szCs w:val="2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1412</Words>
  <Characters>1808</Characters>
  <Application>Microsoft Office Word</Application>
  <DocSecurity>0</DocSecurity>
  <Lines>200</Lines>
  <Paragraphs>189</Paragraphs>
  <ScaleCrop>false</ScaleCrop>
  <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大伟 孙</dc:creator>
  <cp:lastModifiedBy>林玲</cp:lastModifiedBy>
  <cp:revision>57</cp:revision>
  <dcterms:created xsi:type="dcterms:W3CDTF">2024-03-29T08:37:00Z</dcterms:created>
  <dcterms:modified xsi:type="dcterms:W3CDTF">2026-04-27T03:22:00Z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F6A641729DB3492283459FFB650BC0D1_12</vt:lpwstr>
  </property>
</Properties>
</file>